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7C59" w14:textId="77777777" w:rsidR="005060FD" w:rsidRDefault="005060FD" w:rsidP="005060FD"/>
    <w:p w14:paraId="2D16423E" w14:textId="77777777" w:rsidR="005060FD" w:rsidRDefault="005060FD" w:rsidP="005060FD"/>
    <w:p w14:paraId="49F80B2E" w14:textId="77777777" w:rsidR="005060FD" w:rsidRDefault="005060FD" w:rsidP="005060FD"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65025453" wp14:editId="2569F0AF">
            <wp:simplePos x="0" y="0"/>
            <wp:positionH relativeFrom="margin">
              <wp:posOffset>-398780</wp:posOffset>
            </wp:positionH>
            <wp:positionV relativeFrom="margin">
              <wp:posOffset>889000</wp:posOffset>
            </wp:positionV>
            <wp:extent cx="6703060" cy="1955800"/>
            <wp:effectExtent l="0" t="0" r="0" b="0"/>
            <wp:wrapSquare wrapText="bothSides"/>
            <wp:docPr id="486883746" name="Picture 2" descr="A logo with blue and green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883746" name="Picture 2" descr="A logo with blue and green circles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6" t="35255" r="11539" b="34328"/>
                    <a:stretch/>
                  </pic:blipFill>
                  <pic:spPr bwMode="auto">
                    <a:xfrm>
                      <a:off x="0" y="0"/>
                      <a:ext cx="6703060" cy="195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BD1C890" w14:textId="77777777" w:rsidR="005060FD" w:rsidRDefault="005060FD" w:rsidP="005060FD"/>
    <w:p w14:paraId="4A0828E2" w14:textId="77777777" w:rsidR="005060FD" w:rsidRDefault="005060FD" w:rsidP="005060FD">
      <w:pPr>
        <w:jc w:val="center"/>
      </w:pPr>
    </w:p>
    <w:p w14:paraId="36154782" w14:textId="77777777" w:rsidR="005060FD" w:rsidRDefault="005060FD" w:rsidP="005060FD"/>
    <w:p w14:paraId="69652529" w14:textId="77777777" w:rsidR="005060FD" w:rsidRDefault="005060FD" w:rsidP="005060FD"/>
    <w:p w14:paraId="684F750D" w14:textId="77777777" w:rsidR="005060FD" w:rsidRDefault="005060FD" w:rsidP="005060FD"/>
    <w:p w14:paraId="4B4A67C9" w14:textId="53CDCEF1" w:rsidR="005060FD" w:rsidRDefault="003610D6" w:rsidP="005060FD">
      <w:pPr>
        <w:jc w:val="center"/>
        <w:rPr>
          <w:b/>
        </w:rPr>
      </w:pPr>
      <w:r>
        <w:rPr>
          <w:b/>
        </w:rPr>
        <w:t>SUMMER</w:t>
      </w:r>
      <w:r w:rsidR="005060FD">
        <w:rPr>
          <w:b/>
        </w:rPr>
        <w:t xml:space="preserve"> 202</w:t>
      </w:r>
      <w:r>
        <w:rPr>
          <w:b/>
        </w:rPr>
        <w:t>5</w:t>
      </w:r>
      <w:r w:rsidR="005060FD">
        <w:rPr>
          <w:b/>
        </w:rPr>
        <w:t xml:space="preserve"> CALL FOR PROPOSALS </w:t>
      </w:r>
    </w:p>
    <w:p w14:paraId="007C71B9" w14:textId="237A5D8A" w:rsidR="005060FD" w:rsidRPr="00790048" w:rsidRDefault="005060FD" w:rsidP="005060FD">
      <w:pPr>
        <w:jc w:val="center"/>
        <w:rPr>
          <w:b/>
        </w:rPr>
      </w:pPr>
      <w:r>
        <w:rPr>
          <w:b/>
        </w:rPr>
        <w:t>FREQUENTLY ASKED QUESTIONS</w:t>
      </w:r>
    </w:p>
    <w:p w14:paraId="412388AB" w14:textId="77777777" w:rsidR="005060FD" w:rsidRDefault="005060FD" w:rsidP="005060FD">
      <w:pPr>
        <w:jc w:val="center"/>
      </w:pPr>
    </w:p>
    <w:p w14:paraId="0B3EE663" w14:textId="77777777" w:rsidR="005060FD" w:rsidRDefault="005060FD" w:rsidP="005060FD">
      <w:pPr>
        <w:jc w:val="center"/>
      </w:pPr>
    </w:p>
    <w:p w14:paraId="07190FE0" w14:textId="77777777" w:rsidR="005060FD" w:rsidRDefault="005060FD" w:rsidP="005060FD">
      <w:pPr>
        <w:jc w:val="center"/>
      </w:pPr>
    </w:p>
    <w:p w14:paraId="6782C8C8" w14:textId="77777777" w:rsidR="005060FD" w:rsidRDefault="005060FD" w:rsidP="005060FD">
      <w:pPr>
        <w:jc w:val="center"/>
      </w:pPr>
    </w:p>
    <w:p w14:paraId="1F5D9AA4" w14:textId="229192CF" w:rsidR="005060FD" w:rsidRPr="00E70FFF" w:rsidRDefault="005060FD" w:rsidP="005060FD">
      <w:pPr>
        <w:jc w:val="center"/>
      </w:pPr>
      <w:r>
        <w:t>Publication Date:</w:t>
      </w:r>
      <w:r w:rsidRPr="00E70FFF">
        <w:t xml:space="preserve"> </w:t>
      </w:r>
      <w:r w:rsidR="00E54259">
        <w:t>26</w:t>
      </w:r>
      <w:r w:rsidRPr="00E70FFF">
        <w:t xml:space="preserve"> </w:t>
      </w:r>
      <w:r w:rsidR="00E54259">
        <w:t>June</w:t>
      </w:r>
      <w:r w:rsidRPr="00E70FFF">
        <w:t xml:space="preserve"> 202</w:t>
      </w:r>
      <w:r w:rsidR="00E54259">
        <w:t>5</w:t>
      </w:r>
    </w:p>
    <w:p w14:paraId="34C43B0E" w14:textId="77777777" w:rsidR="009C5EDE" w:rsidRDefault="009C5EDE" w:rsidP="00E43E73">
      <w:pPr>
        <w:tabs>
          <w:tab w:val="num" w:pos="720"/>
        </w:tabs>
        <w:ind w:left="720" w:hanging="360"/>
      </w:pPr>
    </w:p>
    <w:p w14:paraId="26960C91" w14:textId="77777777" w:rsidR="005060FD" w:rsidRDefault="005060FD" w:rsidP="00E43E73">
      <w:pPr>
        <w:tabs>
          <w:tab w:val="num" w:pos="720"/>
        </w:tabs>
        <w:ind w:left="720" w:hanging="360"/>
      </w:pPr>
    </w:p>
    <w:p w14:paraId="19DD588B" w14:textId="77777777" w:rsidR="005060FD" w:rsidRDefault="005060FD" w:rsidP="00E43E73">
      <w:pPr>
        <w:tabs>
          <w:tab w:val="num" w:pos="720"/>
        </w:tabs>
        <w:ind w:left="720" w:hanging="360"/>
      </w:pPr>
    </w:p>
    <w:p w14:paraId="55793399" w14:textId="77777777" w:rsidR="005060FD" w:rsidRDefault="005060FD" w:rsidP="00E43E73">
      <w:pPr>
        <w:tabs>
          <w:tab w:val="num" w:pos="720"/>
        </w:tabs>
        <w:ind w:left="720" w:hanging="360"/>
      </w:pPr>
    </w:p>
    <w:p w14:paraId="37A206F6" w14:textId="77777777" w:rsidR="00D902CA" w:rsidRDefault="00D902CA" w:rsidP="00E43E73">
      <w:pPr>
        <w:tabs>
          <w:tab w:val="num" w:pos="720"/>
        </w:tabs>
        <w:ind w:left="720" w:hanging="360"/>
      </w:pPr>
    </w:p>
    <w:p w14:paraId="6993411F" w14:textId="77777777" w:rsidR="005060FD" w:rsidRDefault="005060FD" w:rsidP="00E43E73">
      <w:pPr>
        <w:tabs>
          <w:tab w:val="num" w:pos="720"/>
        </w:tabs>
        <w:ind w:left="720" w:hanging="360"/>
      </w:pPr>
    </w:p>
    <w:p w14:paraId="35D49357" w14:textId="10AE7E57" w:rsidR="005060FD" w:rsidRDefault="005060FD" w:rsidP="00E14068">
      <w:pPr>
        <w:tabs>
          <w:tab w:val="num" w:pos="720"/>
        </w:tabs>
      </w:pPr>
    </w:p>
    <w:p w14:paraId="48AA7E64" w14:textId="5DF1E8BA" w:rsidR="00E43E73" w:rsidRPr="009E443B" w:rsidRDefault="00E43E73" w:rsidP="009E443B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i/>
          <w:iCs/>
        </w:rPr>
      </w:pPr>
      <w:r w:rsidRPr="009E443B">
        <w:rPr>
          <w:rFonts w:ascii="Arial" w:hAnsi="Arial" w:cs="Arial"/>
          <w:b/>
          <w:bCs/>
          <w:i/>
          <w:iCs/>
          <w:lang w:val="en-US"/>
        </w:rPr>
        <w:lastRenderedPageBreak/>
        <w:t>What kind of projects are we looking for?</w:t>
      </w:r>
    </w:p>
    <w:p w14:paraId="7729EFFC" w14:textId="2225C93C" w:rsidR="00E43E73" w:rsidRPr="00083F82" w:rsidRDefault="00E43E73" w:rsidP="00E43E73">
      <w:pPr>
        <w:numPr>
          <w:ilvl w:val="1"/>
          <w:numId w:val="3"/>
        </w:numPr>
        <w:rPr>
          <w:rFonts w:ascii="Arial" w:hAnsi="Arial" w:cs="Arial"/>
        </w:rPr>
      </w:pPr>
      <w:r w:rsidRPr="00083F82">
        <w:rPr>
          <w:rFonts w:ascii="Arial" w:hAnsi="Arial" w:cs="Arial"/>
        </w:rPr>
        <w:t>Projects that can lead to the direct commercialization of medical isotope related technolog</w:t>
      </w:r>
      <w:r w:rsidR="6BAD653E" w:rsidRPr="00083F82">
        <w:rPr>
          <w:rFonts w:ascii="Arial" w:hAnsi="Arial" w:cs="Arial"/>
        </w:rPr>
        <w:t>ies</w:t>
      </w:r>
      <w:r w:rsidR="00EE7957" w:rsidRPr="00083F82">
        <w:rPr>
          <w:rFonts w:ascii="Arial" w:hAnsi="Arial" w:cs="Arial"/>
        </w:rPr>
        <w:t xml:space="preserve"> and products</w:t>
      </w:r>
      <w:r w:rsidR="00D61D95" w:rsidRPr="00083F82">
        <w:rPr>
          <w:rFonts w:ascii="Arial" w:hAnsi="Arial" w:cs="Arial"/>
        </w:rPr>
        <w:t>.</w:t>
      </w:r>
      <w:r w:rsidR="6BAD653E" w:rsidRPr="00083F82">
        <w:rPr>
          <w:rFonts w:ascii="Arial" w:hAnsi="Arial" w:cs="Arial"/>
        </w:rPr>
        <w:t xml:space="preserve"> </w:t>
      </w:r>
    </w:p>
    <w:p w14:paraId="2F1E5112" w14:textId="007AF6A2" w:rsidR="00E43E73" w:rsidRPr="00083F82" w:rsidRDefault="00E43E73" w:rsidP="00E43E73">
      <w:pPr>
        <w:numPr>
          <w:ilvl w:val="1"/>
          <w:numId w:val="3"/>
        </w:numPr>
        <w:rPr>
          <w:rFonts w:ascii="Arial" w:hAnsi="Arial" w:cs="Arial"/>
        </w:rPr>
      </w:pPr>
      <w:r w:rsidRPr="00083F82">
        <w:rPr>
          <w:rFonts w:ascii="Arial" w:hAnsi="Arial" w:cs="Arial"/>
        </w:rPr>
        <w:t>Includes diagnostics; therapeutics; equipment; and software including</w:t>
      </w:r>
      <w:r w:rsidR="009E25B0" w:rsidRPr="00083F82">
        <w:rPr>
          <w:rFonts w:ascii="Arial" w:hAnsi="Arial" w:cs="Arial"/>
        </w:rPr>
        <w:t xml:space="preserve"> artificial intelligence</w:t>
      </w:r>
      <w:r w:rsidRPr="00083F82">
        <w:rPr>
          <w:rFonts w:ascii="Arial" w:hAnsi="Arial" w:cs="Arial"/>
        </w:rPr>
        <w:t xml:space="preserve"> </w:t>
      </w:r>
      <w:r w:rsidR="009E25B0" w:rsidRPr="00083F82">
        <w:rPr>
          <w:rFonts w:ascii="Arial" w:hAnsi="Arial" w:cs="Arial"/>
        </w:rPr>
        <w:t>(</w:t>
      </w:r>
      <w:r w:rsidRPr="00083F82">
        <w:rPr>
          <w:rFonts w:ascii="Arial" w:hAnsi="Arial" w:cs="Arial"/>
        </w:rPr>
        <w:t>AI</w:t>
      </w:r>
      <w:r w:rsidR="009E25B0" w:rsidRPr="00083F82">
        <w:rPr>
          <w:rFonts w:ascii="Arial" w:hAnsi="Arial" w:cs="Arial"/>
        </w:rPr>
        <w:t>)</w:t>
      </w:r>
      <w:r w:rsidRPr="00083F82">
        <w:rPr>
          <w:rFonts w:ascii="Arial" w:hAnsi="Arial" w:cs="Arial"/>
        </w:rPr>
        <w:t xml:space="preserve"> technologies</w:t>
      </w:r>
      <w:r w:rsidR="0024752D" w:rsidRPr="00083F82">
        <w:rPr>
          <w:rFonts w:ascii="Arial" w:hAnsi="Arial" w:cs="Arial"/>
        </w:rPr>
        <w:t>.</w:t>
      </w:r>
    </w:p>
    <w:p w14:paraId="0CE0C642" w14:textId="0CDF946E" w:rsidR="009442C2" w:rsidRPr="00083F82" w:rsidRDefault="009D4B82" w:rsidP="00E43E73">
      <w:pPr>
        <w:numPr>
          <w:ilvl w:val="1"/>
          <w:numId w:val="3"/>
        </w:numPr>
        <w:rPr>
          <w:rFonts w:ascii="Arial" w:hAnsi="Arial" w:cs="Arial"/>
        </w:rPr>
      </w:pPr>
      <w:r w:rsidRPr="00083F82">
        <w:rPr>
          <w:rFonts w:ascii="Arial" w:hAnsi="Arial" w:cs="Arial"/>
        </w:rPr>
        <w:t xml:space="preserve">Projects that </w:t>
      </w:r>
      <w:r w:rsidR="00AD00C3" w:rsidRPr="00083F82">
        <w:rPr>
          <w:rFonts w:ascii="Arial" w:hAnsi="Arial" w:cs="Arial"/>
        </w:rPr>
        <w:t>address an unmet need in the medical isotope space, have the potential to improve the lives of Canadians, consist of a team of</w:t>
      </w:r>
      <w:r w:rsidRPr="00083F82">
        <w:rPr>
          <w:rFonts w:ascii="Arial" w:hAnsi="Arial" w:cs="Arial"/>
        </w:rPr>
        <w:t xml:space="preserve"> committed collaborators, a</w:t>
      </w:r>
      <w:r w:rsidR="00AD00C3" w:rsidRPr="00083F82">
        <w:rPr>
          <w:rFonts w:ascii="Arial" w:hAnsi="Arial" w:cs="Arial"/>
        </w:rPr>
        <w:t xml:space="preserve">nd </w:t>
      </w:r>
      <w:r w:rsidR="76C1BE11" w:rsidRPr="00083F82">
        <w:rPr>
          <w:rFonts w:ascii="Arial" w:hAnsi="Arial" w:cs="Arial"/>
        </w:rPr>
        <w:t>the applicant should be able to define a</w:t>
      </w:r>
      <w:r w:rsidRPr="00083F82">
        <w:rPr>
          <w:rFonts w:ascii="Arial" w:hAnsi="Arial" w:cs="Arial"/>
        </w:rPr>
        <w:t xml:space="preserve"> path to commercialization</w:t>
      </w:r>
      <w:r w:rsidR="0024752D" w:rsidRPr="00083F82">
        <w:rPr>
          <w:rFonts w:ascii="Arial" w:hAnsi="Arial" w:cs="Arial"/>
        </w:rPr>
        <w:t>.</w:t>
      </w:r>
    </w:p>
    <w:p w14:paraId="760454F5" w14:textId="468FC973" w:rsidR="00AE217F" w:rsidRPr="00083F82" w:rsidRDefault="00AE217F" w:rsidP="00E43E73">
      <w:pPr>
        <w:numPr>
          <w:ilvl w:val="1"/>
          <w:numId w:val="3"/>
        </w:numPr>
        <w:rPr>
          <w:rFonts w:ascii="Arial" w:hAnsi="Arial" w:cs="Arial"/>
        </w:rPr>
      </w:pPr>
      <w:r w:rsidRPr="00083F82">
        <w:rPr>
          <w:rFonts w:ascii="Arial" w:hAnsi="Arial" w:cs="Arial"/>
        </w:rPr>
        <w:t xml:space="preserve">Projects that promote </w:t>
      </w:r>
      <w:r w:rsidR="00666EE8" w:rsidRPr="00083F82">
        <w:rPr>
          <w:rFonts w:ascii="Arial" w:hAnsi="Arial" w:cs="Arial"/>
        </w:rPr>
        <w:t xml:space="preserve">cross-country collaboration, provide </w:t>
      </w:r>
      <w:r w:rsidR="00D01953" w:rsidRPr="00083F82">
        <w:rPr>
          <w:rFonts w:ascii="Arial" w:hAnsi="Arial" w:cs="Arial"/>
        </w:rPr>
        <w:t xml:space="preserve">training and jobs to highly qualified personnel, and </w:t>
      </w:r>
      <w:r w:rsidR="003778E2" w:rsidRPr="00083F82">
        <w:rPr>
          <w:rFonts w:ascii="Arial" w:hAnsi="Arial" w:cs="Arial"/>
        </w:rPr>
        <w:t xml:space="preserve">provide opportunity to equity seeking </w:t>
      </w:r>
      <w:r w:rsidR="003914A3" w:rsidRPr="00083F82">
        <w:rPr>
          <w:rFonts w:ascii="Arial" w:hAnsi="Arial" w:cs="Arial"/>
        </w:rPr>
        <w:t>groups and organizations within Canada</w:t>
      </w:r>
      <w:r w:rsidR="0024752D" w:rsidRPr="00083F82">
        <w:rPr>
          <w:rFonts w:ascii="Arial" w:hAnsi="Arial" w:cs="Arial"/>
        </w:rPr>
        <w:t>.</w:t>
      </w:r>
    </w:p>
    <w:p w14:paraId="4FBFAF20" w14:textId="1C86A96E" w:rsidR="00E43E73" w:rsidRPr="00FD30C1" w:rsidRDefault="00E43E73" w:rsidP="00E43E73">
      <w:pPr>
        <w:numPr>
          <w:ilvl w:val="0"/>
          <w:numId w:val="3"/>
        </w:numPr>
        <w:rPr>
          <w:rFonts w:ascii="Arial" w:hAnsi="Arial" w:cs="Arial"/>
          <w:b/>
          <w:bCs/>
          <w:i/>
          <w:iCs/>
        </w:rPr>
      </w:pPr>
      <w:r w:rsidRPr="00FD30C1">
        <w:rPr>
          <w:rFonts w:ascii="Arial" w:hAnsi="Arial" w:cs="Arial"/>
          <w:b/>
          <w:bCs/>
          <w:i/>
          <w:iCs/>
          <w:lang w:val="en-US"/>
        </w:rPr>
        <w:t xml:space="preserve">What </w:t>
      </w:r>
      <w:r w:rsidR="000C7C9A" w:rsidRPr="00FD30C1">
        <w:rPr>
          <w:rFonts w:ascii="Arial" w:hAnsi="Arial" w:cs="Arial"/>
          <w:b/>
          <w:bCs/>
          <w:i/>
          <w:iCs/>
          <w:lang w:val="en-US"/>
        </w:rPr>
        <w:t>is</w:t>
      </w:r>
      <w:r w:rsidRPr="00FD30C1">
        <w:rPr>
          <w:rFonts w:ascii="Arial" w:hAnsi="Arial" w:cs="Arial"/>
          <w:b/>
          <w:bCs/>
          <w:i/>
          <w:iCs/>
          <w:lang w:val="en-US"/>
        </w:rPr>
        <w:t xml:space="preserve"> the application</w:t>
      </w:r>
      <w:r w:rsidR="000C7C9A" w:rsidRPr="00FD30C1">
        <w:rPr>
          <w:rFonts w:ascii="Arial" w:hAnsi="Arial" w:cs="Arial"/>
          <w:b/>
          <w:bCs/>
          <w:i/>
          <w:iCs/>
          <w:lang w:val="en-US"/>
        </w:rPr>
        <w:t xml:space="preserve"> process</w:t>
      </w:r>
      <w:r w:rsidRPr="00FD30C1">
        <w:rPr>
          <w:rFonts w:ascii="Arial" w:hAnsi="Arial" w:cs="Arial"/>
          <w:b/>
          <w:bCs/>
          <w:i/>
          <w:iCs/>
          <w:lang w:val="en-US"/>
        </w:rPr>
        <w:t>?</w:t>
      </w:r>
    </w:p>
    <w:p w14:paraId="08F15E27" w14:textId="14D85108" w:rsidR="00E43E73" w:rsidRPr="00083F82" w:rsidRDefault="00E43E73" w:rsidP="00E43E73">
      <w:pPr>
        <w:numPr>
          <w:ilvl w:val="1"/>
          <w:numId w:val="3"/>
        </w:numPr>
        <w:rPr>
          <w:rFonts w:ascii="Arial" w:hAnsi="Arial" w:cs="Arial"/>
        </w:rPr>
      </w:pPr>
      <w:r w:rsidRPr="00083F82">
        <w:rPr>
          <w:rFonts w:ascii="Arial" w:hAnsi="Arial" w:cs="Arial"/>
          <w:lang w:val="en-US"/>
        </w:rPr>
        <w:t>There is a two</w:t>
      </w:r>
      <w:r w:rsidR="009F43AC" w:rsidRPr="00083F82">
        <w:rPr>
          <w:rFonts w:ascii="Arial" w:hAnsi="Arial" w:cs="Arial"/>
          <w:lang w:val="en-US"/>
        </w:rPr>
        <w:t>-</w:t>
      </w:r>
      <w:r w:rsidRPr="00083F82">
        <w:rPr>
          <w:rFonts w:ascii="Arial" w:hAnsi="Arial" w:cs="Arial"/>
          <w:lang w:val="en-US"/>
        </w:rPr>
        <w:t>step application process.</w:t>
      </w:r>
    </w:p>
    <w:p w14:paraId="5168D306" w14:textId="7D848C48" w:rsidR="00E43E73" w:rsidRPr="00083F82" w:rsidRDefault="00E43E73" w:rsidP="5916BDE8">
      <w:pPr>
        <w:numPr>
          <w:ilvl w:val="1"/>
          <w:numId w:val="3"/>
        </w:numPr>
        <w:rPr>
          <w:rFonts w:ascii="Arial" w:hAnsi="Arial" w:cs="Arial"/>
          <w:lang w:val="en-US"/>
        </w:rPr>
      </w:pPr>
      <w:r w:rsidRPr="00083F82">
        <w:rPr>
          <w:rFonts w:ascii="Arial" w:hAnsi="Arial" w:cs="Arial"/>
          <w:lang w:val="en-US"/>
        </w:rPr>
        <w:t>In the first ste</w:t>
      </w:r>
      <w:r w:rsidR="009F43AC" w:rsidRPr="00083F82">
        <w:rPr>
          <w:rFonts w:ascii="Arial" w:hAnsi="Arial" w:cs="Arial"/>
          <w:lang w:val="en-US"/>
        </w:rPr>
        <w:t>p</w:t>
      </w:r>
      <w:r w:rsidRPr="00083F82">
        <w:rPr>
          <w:rFonts w:ascii="Arial" w:hAnsi="Arial" w:cs="Arial"/>
          <w:lang w:val="en-US"/>
        </w:rPr>
        <w:t xml:space="preserve"> the applicants will be asked to submit</w:t>
      </w:r>
      <w:r w:rsidR="009F43AC" w:rsidRPr="00083F82">
        <w:rPr>
          <w:rFonts w:ascii="Arial" w:hAnsi="Arial" w:cs="Arial"/>
          <w:lang w:val="en-US"/>
        </w:rPr>
        <w:t xml:space="preserve"> a standardized</w:t>
      </w:r>
      <w:r w:rsidR="00D61D95" w:rsidRPr="00083F82">
        <w:rPr>
          <w:rFonts w:ascii="Arial" w:hAnsi="Arial" w:cs="Arial"/>
          <w:lang w:val="en-US"/>
        </w:rPr>
        <w:t xml:space="preserve"> </w:t>
      </w:r>
      <w:r w:rsidR="00D61D95" w:rsidRPr="00083F82">
        <w:rPr>
          <w:rFonts w:ascii="Arial" w:hAnsi="Arial" w:cs="Arial"/>
          <w:b/>
          <w:bCs/>
          <w:u w:val="single"/>
          <w:lang w:val="en-US"/>
        </w:rPr>
        <w:t>non-confidential</w:t>
      </w:r>
      <w:r w:rsidR="009F43AC" w:rsidRPr="00083F82">
        <w:rPr>
          <w:rFonts w:ascii="Arial" w:hAnsi="Arial" w:cs="Arial"/>
          <w:b/>
          <w:bCs/>
          <w:u w:val="single"/>
          <w:lang w:val="en-US"/>
        </w:rPr>
        <w:t xml:space="preserve"> </w:t>
      </w:r>
      <w:r w:rsidR="002F4EE3" w:rsidRPr="00083F82">
        <w:rPr>
          <w:rFonts w:ascii="Arial" w:hAnsi="Arial" w:cs="Arial"/>
          <w:lang w:val="en-US"/>
        </w:rPr>
        <w:t>PowerPoint</w:t>
      </w:r>
      <w:r w:rsidR="009F43AC" w:rsidRPr="00083F82">
        <w:rPr>
          <w:rFonts w:ascii="Arial" w:hAnsi="Arial" w:cs="Arial"/>
          <w:lang w:val="en-US"/>
        </w:rPr>
        <w:t xml:space="preserve"> presentation which will include the important highlights of the project including:</w:t>
      </w:r>
    </w:p>
    <w:p w14:paraId="51571D3A" w14:textId="2629DCA7" w:rsidR="00E43E73" w:rsidRPr="00083F82" w:rsidRDefault="009F43AC" w:rsidP="5916BDE8">
      <w:pPr>
        <w:numPr>
          <w:ilvl w:val="2"/>
          <w:numId w:val="5"/>
        </w:numPr>
        <w:rPr>
          <w:rFonts w:ascii="Arial" w:hAnsi="Arial" w:cs="Arial"/>
          <w:lang w:val="en-US"/>
        </w:rPr>
      </w:pPr>
      <w:r w:rsidRPr="00083F82">
        <w:rPr>
          <w:rFonts w:ascii="Arial" w:hAnsi="Arial" w:cs="Arial"/>
          <w:lang w:val="en-US"/>
        </w:rPr>
        <w:t>A target product profile</w:t>
      </w:r>
      <w:r w:rsidR="009E25B0" w:rsidRPr="00083F82">
        <w:rPr>
          <w:rFonts w:ascii="Arial" w:hAnsi="Arial" w:cs="Arial"/>
          <w:lang w:val="en-US"/>
        </w:rPr>
        <w:t xml:space="preserve"> (TPP)</w:t>
      </w:r>
      <w:r w:rsidRPr="00083F82">
        <w:rPr>
          <w:rFonts w:ascii="Arial" w:hAnsi="Arial" w:cs="Arial"/>
          <w:lang w:val="en-US"/>
        </w:rPr>
        <w:t xml:space="preserve"> </w:t>
      </w:r>
      <w:r w:rsidR="34FAEE13" w:rsidRPr="00083F82">
        <w:rPr>
          <w:rFonts w:ascii="Arial" w:hAnsi="Arial" w:cs="Arial"/>
          <w:lang w:val="en-US"/>
        </w:rPr>
        <w:t>t</w:t>
      </w:r>
      <w:r w:rsidRPr="00083F82">
        <w:rPr>
          <w:rFonts w:ascii="Arial" w:hAnsi="Arial" w:cs="Arial"/>
          <w:lang w:val="en-US"/>
        </w:rPr>
        <w:t xml:space="preserve">hat </w:t>
      </w:r>
      <w:r w:rsidR="6C68B154" w:rsidRPr="00083F82">
        <w:rPr>
          <w:rFonts w:ascii="Arial" w:hAnsi="Arial" w:cs="Arial"/>
          <w:lang w:val="en-US"/>
        </w:rPr>
        <w:t>defines</w:t>
      </w:r>
      <w:r w:rsidRPr="00083F82">
        <w:rPr>
          <w:rFonts w:ascii="Arial" w:hAnsi="Arial" w:cs="Arial"/>
          <w:lang w:val="en-US"/>
        </w:rPr>
        <w:t xml:space="preserve"> the minimal/ideal profile of the final marketed </w:t>
      </w:r>
      <w:r w:rsidR="002F4EE3" w:rsidRPr="00083F82">
        <w:rPr>
          <w:rFonts w:ascii="Arial" w:hAnsi="Arial" w:cs="Arial"/>
          <w:lang w:val="en-US"/>
        </w:rPr>
        <w:t>product.</w:t>
      </w:r>
    </w:p>
    <w:p w14:paraId="437DF54D" w14:textId="7DBDB698" w:rsidR="00E43E73" w:rsidRPr="00083F82" w:rsidRDefault="009F43AC" w:rsidP="009F43AC">
      <w:pPr>
        <w:numPr>
          <w:ilvl w:val="2"/>
          <w:numId w:val="5"/>
        </w:numPr>
        <w:rPr>
          <w:rFonts w:ascii="Arial" w:hAnsi="Arial" w:cs="Arial"/>
        </w:rPr>
      </w:pPr>
      <w:r w:rsidRPr="00083F82">
        <w:rPr>
          <w:rFonts w:ascii="Arial" w:hAnsi="Arial" w:cs="Arial"/>
        </w:rPr>
        <w:t xml:space="preserve">Description of how the </w:t>
      </w:r>
      <w:r w:rsidR="00712648" w:rsidRPr="00083F82">
        <w:rPr>
          <w:rFonts w:ascii="Arial" w:hAnsi="Arial" w:cs="Arial"/>
        </w:rPr>
        <w:t xml:space="preserve">CMIE </w:t>
      </w:r>
      <w:r w:rsidRPr="00083F82">
        <w:rPr>
          <w:rFonts w:ascii="Arial" w:hAnsi="Arial" w:cs="Arial"/>
        </w:rPr>
        <w:t>fund</w:t>
      </w:r>
      <w:r w:rsidR="00DB3181" w:rsidRPr="00083F82">
        <w:rPr>
          <w:rFonts w:ascii="Arial" w:hAnsi="Arial" w:cs="Arial"/>
        </w:rPr>
        <w:t xml:space="preserve">ing </w:t>
      </w:r>
      <w:r w:rsidR="002F4EE3" w:rsidRPr="00083F82">
        <w:rPr>
          <w:rFonts w:ascii="Arial" w:hAnsi="Arial" w:cs="Arial"/>
        </w:rPr>
        <w:t>would advance</w:t>
      </w:r>
      <w:r w:rsidRPr="00083F82">
        <w:rPr>
          <w:rFonts w:ascii="Arial" w:hAnsi="Arial" w:cs="Arial"/>
        </w:rPr>
        <w:t xml:space="preserve"> the project towards the ultimate </w:t>
      </w:r>
      <w:r w:rsidR="002F4EE3" w:rsidRPr="00083F82">
        <w:rPr>
          <w:rFonts w:ascii="Arial" w:hAnsi="Arial" w:cs="Arial"/>
        </w:rPr>
        <w:t>TPP.</w:t>
      </w:r>
    </w:p>
    <w:p w14:paraId="59EB05B4" w14:textId="33186CF4" w:rsidR="00E43E73" w:rsidRPr="00083F82" w:rsidRDefault="009F43AC" w:rsidP="009F43AC">
      <w:pPr>
        <w:numPr>
          <w:ilvl w:val="2"/>
          <w:numId w:val="5"/>
        </w:numPr>
        <w:rPr>
          <w:rFonts w:ascii="Arial" w:hAnsi="Arial" w:cs="Arial"/>
        </w:rPr>
      </w:pPr>
      <w:r w:rsidRPr="00083F82">
        <w:rPr>
          <w:rFonts w:ascii="Arial" w:hAnsi="Arial" w:cs="Arial"/>
        </w:rPr>
        <w:t>Budget</w:t>
      </w:r>
      <w:r w:rsidR="009E25B0" w:rsidRPr="00083F82">
        <w:rPr>
          <w:rFonts w:ascii="Arial" w:hAnsi="Arial" w:cs="Arial"/>
        </w:rPr>
        <w:t xml:space="preserve"> (including current and/or anticipated matched funding sources)</w:t>
      </w:r>
    </w:p>
    <w:p w14:paraId="33452CB5" w14:textId="268C6669" w:rsidR="00E43E73" w:rsidRPr="00083F82" w:rsidRDefault="009F43AC" w:rsidP="009F43AC">
      <w:pPr>
        <w:numPr>
          <w:ilvl w:val="2"/>
          <w:numId w:val="5"/>
        </w:numPr>
        <w:rPr>
          <w:rFonts w:ascii="Arial" w:hAnsi="Arial" w:cs="Arial"/>
        </w:rPr>
      </w:pPr>
      <w:r w:rsidRPr="00083F82">
        <w:rPr>
          <w:rFonts w:ascii="Arial" w:hAnsi="Arial" w:cs="Arial"/>
        </w:rPr>
        <w:t>Gantt chart and description of the work</w:t>
      </w:r>
    </w:p>
    <w:p w14:paraId="7A2A8723" w14:textId="5A42EE9E" w:rsidR="009F43AC" w:rsidRPr="00083F82" w:rsidRDefault="009F43AC" w:rsidP="009F43AC">
      <w:pPr>
        <w:numPr>
          <w:ilvl w:val="2"/>
          <w:numId w:val="5"/>
        </w:numPr>
        <w:rPr>
          <w:rFonts w:ascii="Arial" w:hAnsi="Arial" w:cs="Arial"/>
        </w:rPr>
      </w:pPr>
      <w:r w:rsidRPr="00083F82">
        <w:rPr>
          <w:rFonts w:ascii="Arial" w:hAnsi="Arial" w:cs="Arial"/>
        </w:rPr>
        <w:t xml:space="preserve">Description of the </w:t>
      </w:r>
      <w:r w:rsidR="002F4EE3" w:rsidRPr="00083F82">
        <w:rPr>
          <w:rFonts w:ascii="Arial" w:hAnsi="Arial" w:cs="Arial"/>
        </w:rPr>
        <w:t>status</w:t>
      </w:r>
      <w:r w:rsidRPr="00083F82">
        <w:rPr>
          <w:rFonts w:ascii="Arial" w:hAnsi="Arial" w:cs="Arial"/>
        </w:rPr>
        <w:t xml:space="preserve"> of the technology that will be </w:t>
      </w:r>
      <w:r w:rsidR="002F4EE3" w:rsidRPr="00083F82">
        <w:rPr>
          <w:rFonts w:ascii="Arial" w:hAnsi="Arial" w:cs="Arial"/>
        </w:rPr>
        <w:t>advanced.</w:t>
      </w:r>
    </w:p>
    <w:p w14:paraId="3323C6EF" w14:textId="64C7BF23" w:rsidR="00E43E73" w:rsidRPr="00083F82" w:rsidRDefault="009F43AC" w:rsidP="009F43AC">
      <w:pPr>
        <w:numPr>
          <w:ilvl w:val="2"/>
          <w:numId w:val="5"/>
        </w:numPr>
        <w:rPr>
          <w:rFonts w:ascii="Arial" w:hAnsi="Arial" w:cs="Arial"/>
        </w:rPr>
      </w:pPr>
      <w:r w:rsidRPr="00083F82">
        <w:rPr>
          <w:rFonts w:ascii="Arial" w:hAnsi="Arial" w:cs="Arial"/>
        </w:rPr>
        <w:t xml:space="preserve">Description of the </w:t>
      </w:r>
      <w:r w:rsidR="009E25B0" w:rsidRPr="00083F82">
        <w:rPr>
          <w:rFonts w:ascii="Arial" w:hAnsi="Arial" w:cs="Arial"/>
        </w:rPr>
        <w:t>intellectual property (</w:t>
      </w:r>
      <w:r w:rsidRPr="00083F82">
        <w:rPr>
          <w:rFonts w:ascii="Arial" w:hAnsi="Arial" w:cs="Arial"/>
        </w:rPr>
        <w:t>IP</w:t>
      </w:r>
      <w:r w:rsidR="009E25B0" w:rsidRPr="00083F82">
        <w:rPr>
          <w:rFonts w:ascii="Arial" w:hAnsi="Arial" w:cs="Arial"/>
        </w:rPr>
        <w:t>)</w:t>
      </w:r>
    </w:p>
    <w:p w14:paraId="0D08053E" w14:textId="70AC3774" w:rsidR="00E43E73" w:rsidRPr="00083F82" w:rsidRDefault="009F43AC" w:rsidP="009F43AC">
      <w:pPr>
        <w:numPr>
          <w:ilvl w:val="2"/>
          <w:numId w:val="5"/>
        </w:numPr>
        <w:rPr>
          <w:rFonts w:ascii="Arial" w:hAnsi="Arial" w:cs="Arial"/>
        </w:rPr>
      </w:pPr>
      <w:r w:rsidRPr="00083F82">
        <w:rPr>
          <w:rFonts w:ascii="Arial" w:hAnsi="Arial" w:cs="Arial"/>
        </w:rPr>
        <w:t xml:space="preserve">Description of the team/management </w:t>
      </w:r>
      <w:r w:rsidR="002F4EE3" w:rsidRPr="00083F82">
        <w:rPr>
          <w:rFonts w:ascii="Arial" w:hAnsi="Arial" w:cs="Arial"/>
        </w:rPr>
        <w:t>involved.</w:t>
      </w:r>
    </w:p>
    <w:p w14:paraId="6AEAD22E" w14:textId="5E8428D1" w:rsidR="00E43E73" w:rsidRPr="00083F82" w:rsidRDefault="009F43AC" w:rsidP="009F43AC">
      <w:pPr>
        <w:numPr>
          <w:ilvl w:val="2"/>
          <w:numId w:val="5"/>
        </w:numPr>
        <w:rPr>
          <w:rFonts w:ascii="Arial" w:hAnsi="Arial" w:cs="Arial"/>
        </w:rPr>
      </w:pPr>
      <w:r w:rsidRPr="00083F82">
        <w:rPr>
          <w:rFonts w:ascii="Arial" w:hAnsi="Arial" w:cs="Arial"/>
        </w:rPr>
        <w:t>Competition and compet</w:t>
      </w:r>
      <w:r w:rsidR="003D663A" w:rsidRPr="00083F82">
        <w:rPr>
          <w:rFonts w:ascii="Arial" w:hAnsi="Arial" w:cs="Arial"/>
        </w:rPr>
        <w:t>it</w:t>
      </w:r>
      <w:r w:rsidRPr="00083F82">
        <w:rPr>
          <w:rFonts w:ascii="Arial" w:hAnsi="Arial" w:cs="Arial"/>
        </w:rPr>
        <w:t>ive positioning</w:t>
      </w:r>
    </w:p>
    <w:p w14:paraId="2B889DF9" w14:textId="7D78A98E" w:rsidR="009E25B0" w:rsidRPr="00083F82" w:rsidRDefault="009F43AC" w:rsidP="009E25B0">
      <w:pPr>
        <w:numPr>
          <w:ilvl w:val="2"/>
          <w:numId w:val="5"/>
        </w:numPr>
        <w:rPr>
          <w:rFonts w:ascii="Arial" w:hAnsi="Arial" w:cs="Arial"/>
        </w:rPr>
      </w:pPr>
      <w:r w:rsidRPr="00083F82">
        <w:rPr>
          <w:rFonts w:ascii="Arial" w:hAnsi="Arial" w:cs="Arial"/>
        </w:rPr>
        <w:t>Expected commercialization</w:t>
      </w:r>
      <w:r w:rsidR="505881A8" w:rsidRPr="00083F82">
        <w:rPr>
          <w:rFonts w:ascii="Arial" w:hAnsi="Arial" w:cs="Arial"/>
        </w:rPr>
        <w:t xml:space="preserve"> </w:t>
      </w:r>
      <w:r w:rsidR="002F4EE3" w:rsidRPr="00083F82">
        <w:rPr>
          <w:rFonts w:ascii="Arial" w:hAnsi="Arial" w:cs="Arial"/>
        </w:rPr>
        <w:t>strategy.</w:t>
      </w:r>
    </w:p>
    <w:p w14:paraId="6A449841" w14:textId="3A51CE3C" w:rsidR="00E43E73" w:rsidRDefault="00875DC0" w:rsidP="00875DC0">
      <w:pPr>
        <w:numPr>
          <w:ilvl w:val="1"/>
          <w:numId w:val="5"/>
        </w:numPr>
        <w:rPr>
          <w:rFonts w:ascii="Arial" w:hAnsi="Arial" w:cs="Arial"/>
        </w:rPr>
      </w:pPr>
      <w:r w:rsidRPr="00083F82">
        <w:rPr>
          <w:rFonts w:ascii="Arial" w:hAnsi="Arial" w:cs="Arial"/>
        </w:rPr>
        <w:t xml:space="preserve">In the second step, the application team will be asked to make a </w:t>
      </w:r>
      <w:r w:rsidR="002F4EE3" w:rsidRPr="00083F82">
        <w:rPr>
          <w:rFonts w:ascii="Arial" w:hAnsi="Arial" w:cs="Arial"/>
        </w:rPr>
        <w:t>one-hour</w:t>
      </w:r>
      <w:r w:rsidRPr="00083F82">
        <w:rPr>
          <w:rFonts w:ascii="Arial" w:hAnsi="Arial" w:cs="Arial"/>
        </w:rPr>
        <w:t xml:space="preserve"> </w:t>
      </w:r>
      <w:r w:rsidR="0C4514FA" w:rsidRPr="00083F82">
        <w:rPr>
          <w:rFonts w:ascii="Arial" w:hAnsi="Arial" w:cs="Arial"/>
          <w:b/>
          <w:bCs/>
          <w:u w:val="single"/>
        </w:rPr>
        <w:t xml:space="preserve">confidential </w:t>
      </w:r>
      <w:r w:rsidRPr="00083F82">
        <w:rPr>
          <w:rFonts w:ascii="Arial" w:hAnsi="Arial" w:cs="Arial"/>
        </w:rPr>
        <w:t xml:space="preserve">presentation to the </w:t>
      </w:r>
      <w:r w:rsidR="00930F9C" w:rsidRPr="00083F82">
        <w:rPr>
          <w:rFonts w:ascii="Arial" w:hAnsi="Arial" w:cs="Arial"/>
        </w:rPr>
        <w:t>Eligible Project Selection Committee which will describe in greater detail</w:t>
      </w:r>
      <w:r w:rsidR="00F87401" w:rsidRPr="00083F82">
        <w:rPr>
          <w:rFonts w:ascii="Arial" w:hAnsi="Arial" w:cs="Arial"/>
        </w:rPr>
        <w:t xml:space="preserve"> the project</w:t>
      </w:r>
      <w:r w:rsidR="0067094E" w:rsidRPr="00083F82">
        <w:rPr>
          <w:rFonts w:ascii="Arial" w:hAnsi="Arial" w:cs="Arial"/>
        </w:rPr>
        <w:t>.</w:t>
      </w:r>
    </w:p>
    <w:p w14:paraId="296641AC" w14:textId="77777777" w:rsidR="00FE30EC" w:rsidRDefault="00FE30EC" w:rsidP="00FE30EC">
      <w:pPr>
        <w:rPr>
          <w:rFonts w:ascii="Arial" w:hAnsi="Arial" w:cs="Arial"/>
        </w:rPr>
      </w:pPr>
    </w:p>
    <w:p w14:paraId="45C19AE8" w14:textId="77777777" w:rsidR="00FE30EC" w:rsidRPr="00083F82" w:rsidRDefault="00FE30EC" w:rsidP="00FE30EC">
      <w:pPr>
        <w:rPr>
          <w:rFonts w:ascii="Arial" w:hAnsi="Arial" w:cs="Arial"/>
        </w:rPr>
      </w:pPr>
    </w:p>
    <w:p w14:paraId="07AE2E94" w14:textId="77777777" w:rsidR="00E43E73" w:rsidRPr="00FD30C1" w:rsidRDefault="00E43E73" w:rsidP="00E43E73">
      <w:pPr>
        <w:numPr>
          <w:ilvl w:val="0"/>
          <w:numId w:val="3"/>
        </w:numPr>
        <w:rPr>
          <w:rFonts w:ascii="Arial" w:hAnsi="Arial" w:cs="Arial"/>
          <w:b/>
          <w:bCs/>
          <w:i/>
          <w:iCs/>
        </w:rPr>
      </w:pPr>
      <w:r w:rsidRPr="00FD30C1">
        <w:rPr>
          <w:rFonts w:ascii="Arial" w:hAnsi="Arial" w:cs="Arial"/>
          <w:b/>
          <w:bCs/>
          <w:i/>
          <w:iCs/>
          <w:lang w:val="en-US"/>
        </w:rPr>
        <w:lastRenderedPageBreak/>
        <w:t>Why is there a two-step process for applications?</w:t>
      </w:r>
    </w:p>
    <w:p w14:paraId="3DF1B8B2" w14:textId="462AF5C8" w:rsidR="483CE98D" w:rsidRPr="00083F82" w:rsidRDefault="483CE98D" w:rsidP="3062D869">
      <w:pPr>
        <w:numPr>
          <w:ilvl w:val="1"/>
          <w:numId w:val="3"/>
        </w:numPr>
        <w:tabs>
          <w:tab w:val="clear" w:pos="1440"/>
        </w:tabs>
        <w:ind w:left="1418" w:hanging="284"/>
        <w:rPr>
          <w:rFonts w:ascii="Arial" w:hAnsi="Arial" w:cs="Arial"/>
        </w:rPr>
      </w:pPr>
      <w:r w:rsidRPr="00083F82">
        <w:rPr>
          <w:rFonts w:ascii="Arial" w:hAnsi="Arial" w:cs="Arial"/>
        </w:rPr>
        <w:t>The first stage of the application allows for applicants to enter the application pro</w:t>
      </w:r>
      <w:r w:rsidR="278F5C26" w:rsidRPr="00083F82">
        <w:rPr>
          <w:rFonts w:ascii="Arial" w:hAnsi="Arial" w:cs="Arial"/>
        </w:rPr>
        <w:t>cess without the need for entering a confidentiality agreement.</w:t>
      </w:r>
    </w:p>
    <w:p w14:paraId="2746F39B" w14:textId="102CC4F4" w:rsidR="00C54BFA" w:rsidRPr="00083F82" w:rsidRDefault="00875DC0" w:rsidP="001A7610">
      <w:pPr>
        <w:numPr>
          <w:ilvl w:val="1"/>
          <w:numId w:val="3"/>
        </w:numPr>
        <w:tabs>
          <w:tab w:val="clear" w:pos="1440"/>
        </w:tabs>
        <w:ind w:left="1418" w:hanging="284"/>
        <w:rPr>
          <w:rFonts w:ascii="Arial" w:hAnsi="Arial" w:cs="Arial"/>
        </w:rPr>
      </w:pPr>
      <w:r w:rsidRPr="00083F82">
        <w:rPr>
          <w:rFonts w:ascii="Arial" w:hAnsi="Arial" w:cs="Arial"/>
          <w:lang w:val="en-US"/>
        </w:rPr>
        <w:t>Th</w:t>
      </w:r>
      <w:r w:rsidR="009F43AC" w:rsidRPr="00083F82">
        <w:rPr>
          <w:rFonts w:ascii="Arial" w:hAnsi="Arial" w:cs="Arial"/>
          <w:lang w:val="en-US"/>
        </w:rPr>
        <w:t>e two</w:t>
      </w:r>
      <w:r w:rsidR="00F87401" w:rsidRPr="00083F82">
        <w:rPr>
          <w:rFonts w:ascii="Arial" w:hAnsi="Arial" w:cs="Arial"/>
          <w:lang w:val="en-US"/>
        </w:rPr>
        <w:t>-</w:t>
      </w:r>
      <w:r w:rsidR="009F43AC" w:rsidRPr="00083F82">
        <w:rPr>
          <w:rFonts w:ascii="Arial" w:hAnsi="Arial" w:cs="Arial"/>
          <w:lang w:val="en-US"/>
        </w:rPr>
        <w:t xml:space="preserve">step process </w:t>
      </w:r>
      <w:r w:rsidR="001806B9" w:rsidRPr="00083F82">
        <w:rPr>
          <w:rFonts w:ascii="Arial" w:hAnsi="Arial" w:cs="Arial"/>
          <w:lang w:val="en-US"/>
        </w:rPr>
        <w:t>will allow the Eligib</w:t>
      </w:r>
      <w:r w:rsidR="00C54BFA" w:rsidRPr="00083F82">
        <w:rPr>
          <w:rFonts w:ascii="Arial" w:hAnsi="Arial" w:cs="Arial"/>
          <w:lang w:val="en-US"/>
        </w:rPr>
        <w:t xml:space="preserve">le Project Selection Committee </w:t>
      </w:r>
      <w:r w:rsidR="006D5572" w:rsidRPr="00083F82">
        <w:rPr>
          <w:rFonts w:ascii="Arial" w:hAnsi="Arial" w:cs="Arial"/>
          <w:lang w:val="en-US"/>
        </w:rPr>
        <w:t xml:space="preserve">triage and </w:t>
      </w:r>
      <w:r w:rsidR="002F4EE3" w:rsidRPr="00083F82">
        <w:rPr>
          <w:rFonts w:ascii="Arial" w:hAnsi="Arial" w:cs="Arial"/>
          <w:lang w:val="en-US"/>
        </w:rPr>
        <w:t>shortlist</w:t>
      </w:r>
      <w:r w:rsidR="00C54BFA" w:rsidRPr="00083F82">
        <w:rPr>
          <w:rFonts w:ascii="Arial" w:hAnsi="Arial" w:cs="Arial"/>
          <w:lang w:val="en-US"/>
        </w:rPr>
        <w:t xml:space="preserve"> the projects</w:t>
      </w:r>
      <w:r w:rsidR="0067094E" w:rsidRPr="00083F82">
        <w:rPr>
          <w:rFonts w:ascii="Arial" w:hAnsi="Arial" w:cs="Arial"/>
          <w:lang w:val="en-US"/>
        </w:rPr>
        <w:t>.</w:t>
      </w:r>
    </w:p>
    <w:p w14:paraId="2FA37317" w14:textId="7AA11764" w:rsidR="00E43E73" w:rsidRPr="00083F82" w:rsidRDefault="00C54BFA" w:rsidP="00323850">
      <w:pPr>
        <w:numPr>
          <w:ilvl w:val="1"/>
          <w:numId w:val="3"/>
        </w:numPr>
        <w:tabs>
          <w:tab w:val="clear" w:pos="1440"/>
        </w:tabs>
        <w:ind w:left="1418" w:hanging="338"/>
        <w:rPr>
          <w:rFonts w:ascii="Arial" w:hAnsi="Arial" w:cs="Arial"/>
        </w:rPr>
      </w:pPr>
      <w:r w:rsidRPr="00083F82">
        <w:rPr>
          <w:rFonts w:ascii="Arial" w:hAnsi="Arial" w:cs="Arial"/>
          <w:lang w:val="en-US"/>
        </w:rPr>
        <w:t>The process also helps applicants</w:t>
      </w:r>
      <w:r w:rsidR="006D5572" w:rsidRPr="00083F82">
        <w:rPr>
          <w:rFonts w:ascii="Arial" w:hAnsi="Arial" w:cs="Arial"/>
          <w:lang w:val="en-US"/>
        </w:rPr>
        <w:t xml:space="preserve"> familiarize themselves with a typical </w:t>
      </w:r>
      <w:r w:rsidR="009E25B0" w:rsidRPr="00083F82">
        <w:rPr>
          <w:rFonts w:ascii="Arial" w:hAnsi="Arial" w:cs="Arial"/>
          <w:lang w:val="en-US"/>
        </w:rPr>
        <w:t>venture capital (</w:t>
      </w:r>
      <w:r w:rsidR="006D5572" w:rsidRPr="00083F82">
        <w:rPr>
          <w:rFonts w:ascii="Arial" w:hAnsi="Arial" w:cs="Arial"/>
          <w:lang w:val="en-US"/>
        </w:rPr>
        <w:t>VC</w:t>
      </w:r>
      <w:r w:rsidR="009E25B0" w:rsidRPr="00083F82">
        <w:rPr>
          <w:rFonts w:ascii="Arial" w:hAnsi="Arial" w:cs="Arial"/>
          <w:lang w:val="en-US"/>
        </w:rPr>
        <w:t>)</w:t>
      </w:r>
      <w:r w:rsidR="006D5572" w:rsidRPr="00083F82">
        <w:rPr>
          <w:rFonts w:ascii="Arial" w:hAnsi="Arial" w:cs="Arial"/>
          <w:lang w:val="en-US"/>
        </w:rPr>
        <w:t xml:space="preserve"> application process where</w:t>
      </w:r>
      <w:r w:rsidR="00323850" w:rsidRPr="00083F82">
        <w:rPr>
          <w:rFonts w:ascii="Arial" w:hAnsi="Arial" w:cs="Arial"/>
          <w:lang w:val="en-US"/>
        </w:rPr>
        <w:t xml:space="preserve">by the team needs to be able to </w:t>
      </w:r>
      <w:r w:rsidR="001E504D" w:rsidRPr="00083F82">
        <w:rPr>
          <w:rFonts w:ascii="Arial" w:hAnsi="Arial" w:cs="Arial"/>
          <w:lang w:val="en-US"/>
        </w:rPr>
        <w:t xml:space="preserve">distill their project </w:t>
      </w:r>
      <w:r w:rsidR="002F4EE3" w:rsidRPr="00083F82">
        <w:rPr>
          <w:rFonts w:ascii="Arial" w:hAnsi="Arial" w:cs="Arial"/>
          <w:lang w:val="en-US"/>
        </w:rPr>
        <w:t>into</w:t>
      </w:r>
      <w:r w:rsidR="001E504D" w:rsidRPr="00083F82">
        <w:rPr>
          <w:rFonts w:ascii="Arial" w:hAnsi="Arial" w:cs="Arial"/>
          <w:lang w:val="en-US"/>
        </w:rPr>
        <w:t xml:space="preserve"> a short introductory presentation for initial vetting by potential investors</w:t>
      </w:r>
      <w:r w:rsidR="0067094E" w:rsidRPr="00083F82">
        <w:rPr>
          <w:rFonts w:ascii="Arial" w:hAnsi="Arial" w:cs="Arial"/>
          <w:lang w:val="en-US"/>
        </w:rPr>
        <w:t>.</w:t>
      </w:r>
    </w:p>
    <w:p w14:paraId="403D8FF9" w14:textId="77777777" w:rsidR="00E43E73" w:rsidRPr="00FD30C1" w:rsidRDefault="00E43E73" w:rsidP="00E43E73">
      <w:pPr>
        <w:numPr>
          <w:ilvl w:val="0"/>
          <w:numId w:val="3"/>
        </w:numPr>
        <w:rPr>
          <w:rFonts w:ascii="Arial" w:hAnsi="Arial" w:cs="Arial"/>
          <w:b/>
          <w:bCs/>
          <w:i/>
          <w:iCs/>
        </w:rPr>
      </w:pPr>
      <w:r w:rsidRPr="00FD30C1">
        <w:rPr>
          <w:rFonts w:ascii="Arial" w:hAnsi="Arial" w:cs="Arial"/>
          <w:b/>
          <w:bCs/>
          <w:i/>
          <w:iCs/>
          <w:lang w:val="en-US"/>
        </w:rPr>
        <w:t>Who will make the project selection and funding decisions?</w:t>
      </w:r>
    </w:p>
    <w:p w14:paraId="7CFAC273" w14:textId="782069CA" w:rsidR="00E43E73" w:rsidRPr="00083F82" w:rsidRDefault="00B32E7D" w:rsidP="001E504D">
      <w:pPr>
        <w:numPr>
          <w:ilvl w:val="1"/>
          <w:numId w:val="3"/>
        </w:numPr>
        <w:rPr>
          <w:rFonts w:ascii="Arial" w:hAnsi="Arial" w:cs="Arial"/>
        </w:rPr>
      </w:pPr>
      <w:r w:rsidRPr="00083F82">
        <w:rPr>
          <w:rFonts w:ascii="Arial" w:hAnsi="Arial" w:cs="Arial"/>
          <w:lang w:val="en-US"/>
        </w:rPr>
        <w:t>CMIE Executive</w:t>
      </w:r>
      <w:r w:rsidR="00ED45E4" w:rsidRPr="00083F82">
        <w:rPr>
          <w:rFonts w:ascii="Arial" w:hAnsi="Arial" w:cs="Arial"/>
          <w:lang w:val="en-US"/>
        </w:rPr>
        <w:t>s</w:t>
      </w:r>
      <w:r w:rsidRPr="00083F82">
        <w:rPr>
          <w:rFonts w:ascii="Arial" w:hAnsi="Arial" w:cs="Arial"/>
          <w:lang w:val="en-US"/>
        </w:rPr>
        <w:t xml:space="preserve"> will be assembling an Eligible Project Selection Committee who will be mandated to review the projects and rate the </w:t>
      </w:r>
      <w:r w:rsidR="000E6135" w:rsidRPr="00083F82">
        <w:rPr>
          <w:rFonts w:ascii="Arial" w:hAnsi="Arial" w:cs="Arial"/>
          <w:lang w:val="en-US"/>
        </w:rPr>
        <w:t>projects for funding eligibility</w:t>
      </w:r>
      <w:r w:rsidR="0067094E" w:rsidRPr="00083F82">
        <w:rPr>
          <w:rFonts w:ascii="Arial" w:hAnsi="Arial" w:cs="Arial"/>
          <w:lang w:val="en-US"/>
        </w:rPr>
        <w:t>.</w:t>
      </w:r>
    </w:p>
    <w:p w14:paraId="262F100C" w14:textId="1B45C784" w:rsidR="009E25B0" w:rsidRPr="00083F82" w:rsidRDefault="009E25B0" w:rsidP="001E504D">
      <w:pPr>
        <w:numPr>
          <w:ilvl w:val="1"/>
          <w:numId w:val="3"/>
        </w:numPr>
        <w:rPr>
          <w:rFonts w:ascii="Arial" w:hAnsi="Arial" w:cs="Arial"/>
        </w:rPr>
      </w:pPr>
      <w:r w:rsidRPr="00083F82">
        <w:rPr>
          <w:rFonts w:ascii="Arial" w:hAnsi="Arial" w:cs="Arial"/>
          <w:lang w:val="en-US"/>
        </w:rPr>
        <w:t xml:space="preserve">Members of the </w:t>
      </w:r>
      <w:r w:rsidR="007A2ECE" w:rsidRPr="00083F82">
        <w:rPr>
          <w:rFonts w:ascii="Arial" w:hAnsi="Arial" w:cs="Arial"/>
          <w:lang w:val="en-US"/>
        </w:rPr>
        <w:t>Eligible Project Selection C</w:t>
      </w:r>
      <w:r w:rsidRPr="00083F82">
        <w:rPr>
          <w:rFonts w:ascii="Arial" w:hAnsi="Arial" w:cs="Arial"/>
          <w:lang w:val="en-US"/>
        </w:rPr>
        <w:t xml:space="preserve">ommittee will review potential conflicts of interests on a project-by-project basis to ensure that members can </w:t>
      </w:r>
      <w:r w:rsidR="67D6B1C6" w:rsidRPr="00083F82">
        <w:rPr>
          <w:rFonts w:ascii="Arial" w:hAnsi="Arial" w:cs="Arial"/>
          <w:lang w:val="en-US"/>
        </w:rPr>
        <w:t>re</w:t>
      </w:r>
      <w:r w:rsidRPr="00083F82">
        <w:rPr>
          <w:rFonts w:ascii="Arial" w:hAnsi="Arial" w:cs="Arial"/>
          <w:lang w:val="en-US"/>
        </w:rPr>
        <w:t xml:space="preserve">cuse themselves from the review process if a conflict is identified. </w:t>
      </w:r>
    </w:p>
    <w:p w14:paraId="6FE204D2" w14:textId="30383093" w:rsidR="009E25B0" w:rsidRPr="00083F82" w:rsidRDefault="004657F1" w:rsidP="001E504D">
      <w:pPr>
        <w:numPr>
          <w:ilvl w:val="1"/>
          <w:numId w:val="3"/>
        </w:numPr>
        <w:rPr>
          <w:rFonts w:ascii="Arial" w:hAnsi="Arial" w:cs="Arial"/>
        </w:rPr>
      </w:pPr>
      <w:r w:rsidRPr="00083F82">
        <w:rPr>
          <w:rFonts w:ascii="Arial" w:hAnsi="Arial" w:cs="Arial"/>
        </w:rPr>
        <w:t xml:space="preserve">1/3 of the Eligible Project Selection Committee will consist of independent reviewers. You are encouraged </w:t>
      </w:r>
      <w:r w:rsidR="00FE4A8B" w:rsidRPr="00083F82">
        <w:rPr>
          <w:rFonts w:ascii="Arial" w:hAnsi="Arial" w:cs="Arial"/>
        </w:rPr>
        <w:t xml:space="preserve">(but not required) </w:t>
      </w:r>
      <w:r w:rsidRPr="00083F82">
        <w:rPr>
          <w:rFonts w:ascii="Arial" w:hAnsi="Arial" w:cs="Arial"/>
        </w:rPr>
        <w:t xml:space="preserve">to suggest industry-relevant independent reviewers for your program within your application. </w:t>
      </w:r>
    </w:p>
    <w:p w14:paraId="14C923BE" w14:textId="77777777" w:rsidR="00E43E73" w:rsidRPr="00ED5688" w:rsidRDefault="00E43E73" w:rsidP="00E43E73">
      <w:pPr>
        <w:numPr>
          <w:ilvl w:val="0"/>
          <w:numId w:val="3"/>
        </w:numPr>
        <w:rPr>
          <w:rFonts w:ascii="Arial" w:hAnsi="Arial" w:cs="Arial"/>
          <w:b/>
          <w:bCs/>
          <w:i/>
          <w:iCs/>
        </w:rPr>
      </w:pPr>
      <w:r w:rsidRPr="00ED5688">
        <w:rPr>
          <w:rFonts w:ascii="Arial" w:hAnsi="Arial" w:cs="Arial"/>
          <w:b/>
          <w:bCs/>
          <w:i/>
          <w:iCs/>
          <w:lang w:val="en-US"/>
        </w:rPr>
        <w:t xml:space="preserve">How much funding can a project receive? </w:t>
      </w:r>
    </w:p>
    <w:p w14:paraId="41BD6DE5" w14:textId="0BC75730" w:rsidR="00E43E73" w:rsidRPr="00083F82" w:rsidRDefault="000E6135" w:rsidP="000E6135">
      <w:pPr>
        <w:numPr>
          <w:ilvl w:val="1"/>
          <w:numId w:val="3"/>
        </w:numPr>
        <w:rPr>
          <w:rFonts w:ascii="Arial" w:hAnsi="Arial" w:cs="Arial"/>
        </w:rPr>
      </w:pPr>
      <w:r w:rsidRPr="00083F82">
        <w:rPr>
          <w:rFonts w:ascii="Arial" w:hAnsi="Arial" w:cs="Arial"/>
          <w:lang w:val="en-US"/>
        </w:rPr>
        <w:t>Funding for the first call will range from $</w:t>
      </w:r>
      <w:r w:rsidR="00152EFF">
        <w:rPr>
          <w:rFonts w:ascii="Arial" w:hAnsi="Arial" w:cs="Arial"/>
          <w:lang w:val="en-US"/>
        </w:rPr>
        <w:t>20</w:t>
      </w:r>
      <w:r w:rsidRPr="00083F82">
        <w:rPr>
          <w:rFonts w:ascii="Arial" w:hAnsi="Arial" w:cs="Arial"/>
          <w:lang w:val="en-US"/>
        </w:rPr>
        <w:t xml:space="preserve">0,000 </w:t>
      </w:r>
      <w:r w:rsidR="000B55A1" w:rsidRPr="00083F82">
        <w:rPr>
          <w:rFonts w:ascii="Arial" w:hAnsi="Arial" w:cs="Arial"/>
          <w:lang w:val="en-US"/>
        </w:rPr>
        <w:t xml:space="preserve">for key proof of concept studies </w:t>
      </w:r>
      <w:r w:rsidRPr="00083F82">
        <w:rPr>
          <w:rFonts w:ascii="Arial" w:hAnsi="Arial" w:cs="Arial"/>
          <w:lang w:val="en-US"/>
        </w:rPr>
        <w:t>to $500,000</w:t>
      </w:r>
      <w:r w:rsidR="000B55A1" w:rsidRPr="00083F82">
        <w:rPr>
          <w:rFonts w:ascii="Arial" w:hAnsi="Arial" w:cs="Arial"/>
          <w:lang w:val="en-US"/>
        </w:rPr>
        <w:t xml:space="preserve"> for </w:t>
      </w:r>
      <w:r w:rsidR="00301BD9" w:rsidRPr="00083F82">
        <w:rPr>
          <w:rFonts w:ascii="Arial" w:hAnsi="Arial" w:cs="Arial"/>
          <w:lang w:val="en-US"/>
        </w:rPr>
        <w:t>more advanced programs</w:t>
      </w:r>
      <w:r w:rsidR="000B55A1" w:rsidRPr="00083F82">
        <w:rPr>
          <w:rFonts w:ascii="Arial" w:hAnsi="Arial" w:cs="Arial"/>
          <w:lang w:val="en-US"/>
        </w:rPr>
        <w:t>.</w:t>
      </w:r>
      <w:r w:rsidR="00FE4A8B" w:rsidRPr="00083F82">
        <w:rPr>
          <w:rFonts w:ascii="Arial" w:hAnsi="Arial" w:cs="Arial"/>
          <w:lang w:val="en-US"/>
        </w:rPr>
        <w:t xml:space="preserve"> </w:t>
      </w:r>
      <w:r w:rsidR="004E725F" w:rsidRPr="00083F82">
        <w:rPr>
          <w:rFonts w:ascii="Arial" w:hAnsi="Arial" w:cs="Arial"/>
          <w:lang w:val="en-US"/>
        </w:rPr>
        <w:t xml:space="preserve">As this is </w:t>
      </w:r>
      <w:r w:rsidR="0067377D" w:rsidRPr="00083F82">
        <w:rPr>
          <w:rFonts w:ascii="Arial" w:hAnsi="Arial" w:cs="Arial"/>
          <w:lang w:val="en-US"/>
        </w:rPr>
        <w:t>a</w:t>
      </w:r>
      <w:r w:rsidR="004E725F" w:rsidRPr="00083F82">
        <w:rPr>
          <w:rFonts w:ascii="Arial" w:hAnsi="Arial" w:cs="Arial"/>
          <w:lang w:val="en-US"/>
        </w:rPr>
        <w:t xml:space="preserve"> competitive application process, we cannot guarantee that </w:t>
      </w:r>
      <w:r w:rsidR="00FC4992" w:rsidRPr="00083F82">
        <w:rPr>
          <w:rFonts w:ascii="Arial" w:hAnsi="Arial" w:cs="Arial"/>
          <w:lang w:val="en-US"/>
        </w:rPr>
        <w:t>funding will be provided to all submissions</w:t>
      </w:r>
      <w:r w:rsidR="00CC122D" w:rsidRPr="00083F82">
        <w:rPr>
          <w:rFonts w:ascii="Arial" w:hAnsi="Arial" w:cs="Arial"/>
          <w:lang w:val="en-US"/>
        </w:rPr>
        <w:t xml:space="preserve">. Additionally, there is potential that selected programs may not </w:t>
      </w:r>
      <w:r w:rsidR="0067377D" w:rsidRPr="00083F82">
        <w:rPr>
          <w:rFonts w:ascii="Arial" w:hAnsi="Arial" w:cs="Arial"/>
          <w:lang w:val="en-US"/>
        </w:rPr>
        <w:t>receive the</w:t>
      </w:r>
      <w:r w:rsidR="00FC4992" w:rsidRPr="00083F82">
        <w:rPr>
          <w:rFonts w:ascii="Arial" w:hAnsi="Arial" w:cs="Arial"/>
          <w:lang w:val="en-US"/>
        </w:rPr>
        <w:t xml:space="preserve"> total funding amount requested</w:t>
      </w:r>
      <w:r w:rsidR="0067377D" w:rsidRPr="00083F82">
        <w:rPr>
          <w:rFonts w:ascii="Arial" w:hAnsi="Arial" w:cs="Arial"/>
          <w:lang w:val="en-US"/>
        </w:rPr>
        <w:t xml:space="preserve">. </w:t>
      </w:r>
    </w:p>
    <w:p w14:paraId="036CF32A" w14:textId="77777777" w:rsidR="00E43E73" w:rsidRPr="00ED5688" w:rsidRDefault="00E43E73" w:rsidP="00E43E73">
      <w:pPr>
        <w:numPr>
          <w:ilvl w:val="0"/>
          <w:numId w:val="3"/>
        </w:numPr>
        <w:rPr>
          <w:rFonts w:ascii="Arial" w:hAnsi="Arial" w:cs="Arial"/>
          <w:b/>
          <w:bCs/>
          <w:i/>
          <w:iCs/>
        </w:rPr>
      </w:pPr>
      <w:r w:rsidRPr="00ED5688">
        <w:rPr>
          <w:rFonts w:ascii="Arial" w:hAnsi="Arial" w:cs="Arial"/>
          <w:b/>
          <w:bCs/>
          <w:i/>
          <w:iCs/>
          <w:lang w:val="en-US"/>
        </w:rPr>
        <w:t>How will the funds be paid?</w:t>
      </w:r>
    </w:p>
    <w:p w14:paraId="34462A22" w14:textId="5C17046D" w:rsidR="00E43E73" w:rsidRPr="00083F82" w:rsidRDefault="00940DFC" w:rsidP="00301BD9">
      <w:pPr>
        <w:numPr>
          <w:ilvl w:val="1"/>
          <w:numId w:val="3"/>
        </w:numPr>
        <w:rPr>
          <w:rFonts w:ascii="Arial" w:hAnsi="Arial" w:cs="Arial"/>
        </w:rPr>
      </w:pPr>
      <w:r w:rsidRPr="00083F82">
        <w:rPr>
          <w:rFonts w:ascii="Arial" w:hAnsi="Arial" w:cs="Arial"/>
          <w:lang w:val="en-US"/>
        </w:rPr>
        <w:t xml:space="preserve">The CMIEDF program </w:t>
      </w:r>
      <w:r w:rsidR="00C228ED" w:rsidRPr="00083F82">
        <w:rPr>
          <w:rFonts w:ascii="Arial" w:hAnsi="Arial" w:cs="Arial"/>
          <w:lang w:val="en-US"/>
        </w:rPr>
        <w:t xml:space="preserve">is a reimbursement fund, not a disbursement fund. </w:t>
      </w:r>
      <w:r w:rsidRPr="00083F82">
        <w:rPr>
          <w:rFonts w:ascii="Arial" w:hAnsi="Arial" w:cs="Arial"/>
          <w:lang w:val="en-US"/>
        </w:rPr>
        <w:t xml:space="preserve"> </w:t>
      </w:r>
      <w:r w:rsidR="00447B6C" w:rsidRPr="00083F82">
        <w:rPr>
          <w:rFonts w:ascii="Arial" w:hAnsi="Arial" w:cs="Arial"/>
          <w:lang w:val="en-US"/>
        </w:rPr>
        <w:t>On a quarterly basis</w:t>
      </w:r>
      <w:r w:rsidR="008D001A" w:rsidRPr="00083F82">
        <w:rPr>
          <w:rFonts w:ascii="Arial" w:hAnsi="Arial" w:cs="Arial"/>
          <w:lang w:val="en-US"/>
        </w:rPr>
        <w:t>,</w:t>
      </w:r>
      <w:r w:rsidR="00A51B4B" w:rsidRPr="00083F82">
        <w:rPr>
          <w:rFonts w:ascii="Arial" w:hAnsi="Arial" w:cs="Arial"/>
          <w:lang w:val="en-US"/>
        </w:rPr>
        <w:t xml:space="preserve"> recipients will submit</w:t>
      </w:r>
      <w:r w:rsidR="001D5F8A" w:rsidRPr="00083F82">
        <w:rPr>
          <w:rFonts w:ascii="Arial" w:hAnsi="Arial" w:cs="Arial"/>
          <w:lang w:val="en-US"/>
        </w:rPr>
        <w:t xml:space="preserve"> a progress report and</w:t>
      </w:r>
      <w:r w:rsidR="00A51B4B" w:rsidRPr="00083F82">
        <w:rPr>
          <w:rFonts w:ascii="Arial" w:hAnsi="Arial" w:cs="Arial"/>
          <w:lang w:val="en-US"/>
        </w:rPr>
        <w:t xml:space="preserve"> the</w:t>
      </w:r>
      <w:r w:rsidR="00F848E8" w:rsidRPr="00083F82">
        <w:rPr>
          <w:rFonts w:ascii="Arial" w:hAnsi="Arial" w:cs="Arial"/>
          <w:lang w:val="en-US"/>
        </w:rPr>
        <w:t>ir</w:t>
      </w:r>
      <w:r w:rsidR="00A51B4B" w:rsidRPr="00083F82">
        <w:rPr>
          <w:rFonts w:ascii="Arial" w:hAnsi="Arial" w:cs="Arial"/>
          <w:lang w:val="en-US"/>
        </w:rPr>
        <w:t xml:space="preserve"> eligible refundable claims</w:t>
      </w:r>
      <w:r w:rsidR="00F848E8" w:rsidRPr="00083F82">
        <w:rPr>
          <w:rFonts w:ascii="Arial" w:hAnsi="Arial" w:cs="Arial"/>
          <w:lang w:val="en-US"/>
        </w:rPr>
        <w:t>. Subject to review</w:t>
      </w:r>
      <w:r w:rsidR="00C94D4B" w:rsidRPr="00083F82">
        <w:rPr>
          <w:rFonts w:ascii="Arial" w:hAnsi="Arial" w:cs="Arial"/>
          <w:lang w:val="en-US"/>
        </w:rPr>
        <w:t xml:space="preserve"> by the CMIE and the government</w:t>
      </w:r>
      <w:r w:rsidR="00F848E8" w:rsidRPr="00083F82">
        <w:rPr>
          <w:rFonts w:ascii="Arial" w:hAnsi="Arial" w:cs="Arial"/>
          <w:lang w:val="en-US"/>
        </w:rPr>
        <w:t>,</w:t>
      </w:r>
      <w:r w:rsidR="00DD0DD3" w:rsidRPr="00083F82">
        <w:rPr>
          <w:rFonts w:ascii="Arial" w:hAnsi="Arial" w:cs="Arial"/>
          <w:lang w:val="en-US"/>
        </w:rPr>
        <w:t xml:space="preserve"> funds should be forward</w:t>
      </w:r>
      <w:r w:rsidR="00A12D7B" w:rsidRPr="00083F82">
        <w:rPr>
          <w:rFonts w:ascii="Arial" w:hAnsi="Arial" w:cs="Arial"/>
          <w:lang w:val="en-US"/>
        </w:rPr>
        <w:t>ed</w:t>
      </w:r>
      <w:r w:rsidR="00DD0DD3" w:rsidRPr="00083F82">
        <w:rPr>
          <w:rFonts w:ascii="Arial" w:hAnsi="Arial" w:cs="Arial"/>
          <w:lang w:val="en-US"/>
        </w:rPr>
        <w:t xml:space="preserve"> to the recipient about 60</w:t>
      </w:r>
      <w:r w:rsidR="7F0C79AA" w:rsidRPr="00083F82">
        <w:rPr>
          <w:rFonts w:ascii="Arial" w:hAnsi="Arial" w:cs="Arial"/>
          <w:lang w:val="en-US"/>
        </w:rPr>
        <w:t>-</w:t>
      </w:r>
      <w:bookmarkStart w:id="0" w:name="_Int_fLTI06YT"/>
      <w:r w:rsidR="7F0C79AA" w:rsidRPr="00083F82">
        <w:rPr>
          <w:rFonts w:ascii="Arial" w:hAnsi="Arial" w:cs="Arial"/>
          <w:lang w:val="en-US"/>
        </w:rPr>
        <w:t>90</w:t>
      </w:r>
      <w:r w:rsidR="00DD0DD3" w:rsidRPr="00083F82">
        <w:rPr>
          <w:rFonts w:ascii="Arial" w:hAnsi="Arial" w:cs="Arial"/>
          <w:lang w:val="en-US"/>
        </w:rPr>
        <w:t xml:space="preserve"> days</w:t>
      </w:r>
      <w:bookmarkEnd w:id="0"/>
      <w:r w:rsidR="00DD0DD3" w:rsidRPr="00083F82">
        <w:rPr>
          <w:rFonts w:ascii="Arial" w:hAnsi="Arial" w:cs="Arial"/>
          <w:lang w:val="en-US"/>
        </w:rPr>
        <w:t xml:space="preserve"> after the claims are submitted</w:t>
      </w:r>
      <w:r w:rsidR="010A0730" w:rsidRPr="00083F82">
        <w:rPr>
          <w:rFonts w:ascii="Arial" w:hAnsi="Arial" w:cs="Arial"/>
          <w:lang w:val="en-US"/>
        </w:rPr>
        <w:t xml:space="preserve"> subject to questions from the Minister</w:t>
      </w:r>
      <w:r w:rsidR="00F339EF" w:rsidRPr="00083F82">
        <w:rPr>
          <w:rFonts w:ascii="Arial" w:hAnsi="Arial" w:cs="Arial"/>
          <w:lang w:val="en-US"/>
        </w:rPr>
        <w:t>.</w:t>
      </w:r>
    </w:p>
    <w:p w14:paraId="05B93C26" w14:textId="48B0F09D" w:rsidR="00E43E73" w:rsidRPr="00ED5688" w:rsidRDefault="00E43E73" w:rsidP="00E43E73">
      <w:pPr>
        <w:numPr>
          <w:ilvl w:val="0"/>
          <w:numId w:val="3"/>
        </w:numPr>
        <w:rPr>
          <w:rFonts w:ascii="Arial" w:hAnsi="Arial" w:cs="Arial"/>
          <w:b/>
          <w:bCs/>
          <w:i/>
          <w:iCs/>
        </w:rPr>
      </w:pPr>
      <w:r w:rsidRPr="00ED5688">
        <w:rPr>
          <w:rFonts w:ascii="Arial" w:hAnsi="Arial" w:cs="Arial"/>
          <w:b/>
          <w:bCs/>
          <w:i/>
          <w:iCs/>
          <w:lang w:val="en-US"/>
        </w:rPr>
        <w:t>Do you have to have the match</w:t>
      </w:r>
      <w:r w:rsidR="00A716CD" w:rsidRPr="00ED5688">
        <w:rPr>
          <w:rFonts w:ascii="Arial" w:hAnsi="Arial" w:cs="Arial"/>
          <w:b/>
          <w:bCs/>
          <w:i/>
          <w:iCs/>
          <w:lang w:val="en-US"/>
        </w:rPr>
        <w:t>ing funds secured when applying</w:t>
      </w:r>
      <w:r w:rsidRPr="00ED5688">
        <w:rPr>
          <w:rFonts w:ascii="Arial" w:hAnsi="Arial" w:cs="Arial"/>
          <w:b/>
          <w:bCs/>
          <w:i/>
          <w:iCs/>
          <w:lang w:val="en-US"/>
        </w:rPr>
        <w:t>?</w:t>
      </w:r>
    </w:p>
    <w:p w14:paraId="1203D437" w14:textId="09CAC7FC" w:rsidR="002659A5" w:rsidRPr="00FE30EC" w:rsidRDefault="00F339EF" w:rsidP="002659A5">
      <w:pPr>
        <w:numPr>
          <w:ilvl w:val="1"/>
          <w:numId w:val="3"/>
        </w:numPr>
        <w:rPr>
          <w:rFonts w:ascii="Arial" w:hAnsi="Arial" w:cs="Arial"/>
        </w:rPr>
      </w:pPr>
      <w:r w:rsidRPr="00083F82">
        <w:rPr>
          <w:rFonts w:ascii="Arial" w:hAnsi="Arial" w:cs="Arial"/>
          <w:lang w:val="en-US"/>
        </w:rPr>
        <w:t>No. Recipients of Eli</w:t>
      </w:r>
      <w:r w:rsidR="00045319" w:rsidRPr="00083F82">
        <w:rPr>
          <w:rFonts w:ascii="Arial" w:hAnsi="Arial" w:cs="Arial"/>
          <w:lang w:val="en-US"/>
        </w:rPr>
        <w:t>gible</w:t>
      </w:r>
      <w:r w:rsidR="00826931" w:rsidRPr="00083F82">
        <w:rPr>
          <w:rFonts w:ascii="Arial" w:hAnsi="Arial" w:cs="Arial"/>
          <w:lang w:val="en-US"/>
        </w:rPr>
        <w:t xml:space="preserve"> Recipient Award letters</w:t>
      </w:r>
      <w:r w:rsidR="005C2F7A" w:rsidRPr="00083F82">
        <w:rPr>
          <w:rFonts w:ascii="Arial" w:hAnsi="Arial" w:cs="Arial"/>
          <w:lang w:val="en-US"/>
        </w:rPr>
        <w:t xml:space="preserve"> will have 6 months to find the matching funding source</w:t>
      </w:r>
      <w:r w:rsidR="3A383A8B" w:rsidRPr="00083F82">
        <w:rPr>
          <w:rFonts w:ascii="Arial" w:hAnsi="Arial" w:cs="Arial"/>
          <w:lang w:val="en-US"/>
        </w:rPr>
        <w:t>.</w:t>
      </w:r>
      <w:r w:rsidR="005C2F7A" w:rsidRPr="00083F82">
        <w:rPr>
          <w:rFonts w:ascii="Arial" w:hAnsi="Arial" w:cs="Arial"/>
          <w:lang w:val="en-US"/>
        </w:rPr>
        <w:t xml:space="preserve"> </w:t>
      </w:r>
      <w:r w:rsidR="002659A5" w:rsidRPr="00083F82">
        <w:rPr>
          <w:rFonts w:ascii="Arial" w:hAnsi="Arial" w:cs="Arial"/>
          <w:lang w:val="en-US"/>
        </w:rPr>
        <w:t xml:space="preserve">Recipients can use the award letter </w:t>
      </w:r>
      <w:r w:rsidR="005D4F5C" w:rsidRPr="00083F82">
        <w:rPr>
          <w:rFonts w:ascii="Arial" w:hAnsi="Arial" w:cs="Arial"/>
          <w:lang w:val="en-US"/>
        </w:rPr>
        <w:t>to raise the matching funds</w:t>
      </w:r>
      <w:r w:rsidR="00B939B7" w:rsidRPr="00083F82">
        <w:rPr>
          <w:rFonts w:ascii="Arial" w:hAnsi="Arial" w:cs="Arial"/>
          <w:lang w:val="en-US"/>
        </w:rPr>
        <w:t>.</w:t>
      </w:r>
    </w:p>
    <w:p w14:paraId="28601199" w14:textId="77777777" w:rsidR="00FE30EC" w:rsidRDefault="00FE30EC" w:rsidP="00FE30EC">
      <w:pPr>
        <w:rPr>
          <w:rFonts w:ascii="Arial" w:hAnsi="Arial" w:cs="Arial"/>
          <w:lang w:val="en-US"/>
        </w:rPr>
      </w:pPr>
    </w:p>
    <w:p w14:paraId="21934545" w14:textId="77777777" w:rsidR="00FE30EC" w:rsidRPr="00083F82" w:rsidRDefault="00FE30EC" w:rsidP="00FE30EC">
      <w:pPr>
        <w:rPr>
          <w:rFonts w:ascii="Arial" w:hAnsi="Arial" w:cs="Arial"/>
        </w:rPr>
      </w:pPr>
    </w:p>
    <w:p w14:paraId="2E451F86" w14:textId="3550E2C5" w:rsidR="00E43E73" w:rsidRPr="00FE30EC" w:rsidRDefault="00E43E73" w:rsidP="0099239E">
      <w:pPr>
        <w:numPr>
          <w:ilvl w:val="0"/>
          <w:numId w:val="3"/>
        </w:numPr>
        <w:rPr>
          <w:rFonts w:ascii="Arial" w:hAnsi="Arial" w:cs="Arial"/>
          <w:b/>
          <w:bCs/>
          <w:i/>
          <w:iCs/>
        </w:rPr>
      </w:pPr>
      <w:r w:rsidRPr="00FE30EC">
        <w:rPr>
          <w:rFonts w:ascii="Arial" w:hAnsi="Arial" w:cs="Arial"/>
          <w:b/>
          <w:bCs/>
          <w:i/>
          <w:iCs/>
          <w:lang w:val="en-US"/>
        </w:rPr>
        <w:lastRenderedPageBreak/>
        <w:t>How is this different from a</w:t>
      </w:r>
      <w:r w:rsidR="005D4F5C" w:rsidRPr="00FE30EC">
        <w:rPr>
          <w:rFonts w:ascii="Arial" w:hAnsi="Arial" w:cs="Arial"/>
          <w:b/>
          <w:bCs/>
          <w:i/>
          <w:iCs/>
          <w:lang w:val="en-US"/>
        </w:rPr>
        <w:t>n academic</w:t>
      </w:r>
      <w:r w:rsidRPr="00FE30EC">
        <w:rPr>
          <w:rFonts w:ascii="Arial" w:hAnsi="Arial" w:cs="Arial"/>
          <w:b/>
          <w:bCs/>
          <w:i/>
          <w:iCs/>
          <w:lang w:val="en-US"/>
        </w:rPr>
        <w:t xml:space="preserve"> grant?</w:t>
      </w:r>
    </w:p>
    <w:p w14:paraId="6C7BAC5B" w14:textId="6482D53D" w:rsidR="00E43E73" w:rsidRPr="00083F82" w:rsidRDefault="00643819" w:rsidP="005D4F5C">
      <w:pPr>
        <w:numPr>
          <w:ilvl w:val="1"/>
          <w:numId w:val="3"/>
        </w:numPr>
        <w:rPr>
          <w:rFonts w:ascii="Arial" w:hAnsi="Arial" w:cs="Arial"/>
        </w:rPr>
      </w:pPr>
      <w:r w:rsidRPr="00083F82">
        <w:rPr>
          <w:rFonts w:ascii="Arial" w:hAnsi="Arial" w:cs="Arial"/>
        </w:rPr>
        <w:t xml:space="preserve">The </w:t>
      </w:r>
      <w:r w:rsidR="004657F1" w:rsidRPr="00083F82">
        <w:rPr>
          <w:rFonts w:ascii="Arial" w:hAnsi="Arial" w:cs="Arial"/>
        </w:rPr>
        <w:t>CMIE Development Fund (CMIEDF)</w:t>
      </w:r>
      <w:r w:rsidR="00D67CFD" w:rsidRPr="00083F82">
        <w:rPr>
          <w:rFonts w:ascii="Arial" w:hAnsi="Arial" w:cs="Arial"/>
        </w:rPr>
        <w:t xml:space="preserve"> is focused on</w:t>
      </w:r>
      <w:r w:rsidR="004657F1" w:rsidRPr="00083F82">
        <w:rPr>
          <w:rFonts w:ascii="Arial" w:hAnsi="Arial" w:cs="Arial"/>
        </w:rPr>
        <w:t xml:space="preserve"> funding</w:t>
      </w:r>
      <w:r w:rsidR="00D67CFD" w:rsidRPr="00083F82">
        <w:rPr>
          <w:rFonts w:ascii="Arial" w:hAnsi="Arial" w:cs="Arial"/>
        </w:rPr>
        <w:t xml:space="preserve"> the translation </w:t>
      </w:r>
      <w:r w:rsidR="00690447" w:rsidRPr="00083F82">
        <w:rPr>
          <w:rFonts w:ascii="Arial" w:hAnsi="Arial" w:cs="Arial"/>
        </w:rPr>
        <w:t xml:space="preserve">and commercialization </w:t>
      </w:r>
      <w:r w:rsidR="00D67CFD" w:rsidRPr="00083F82">
        <w:rPr>
          <w:rFonts w:ascii="Arial" w:hAnsi="Arial" w:cs="Arial"/>
        </w:rPr>
        <w:t xml:space="preserve">of research or </w:t>
      </w:r>
      <w:r w:rsidR="00A80EBE" w:rsidRPr="00083F82">
        <w:rPr>
          <w:rFonts w:ascii="Arial" w:hAnsi="Arial" w:cs="Arial"/>
        </w:rPr>
        <w:t>early-stage</w:t>
      </w:r>
      <w:r w:rsidR="00D67CFD" w:rsidRPr="00083F82">
        <w:rPr>
          <w:rFonts w:ascii="Arial" w:hAnsi="Arial" w:cs="Arial"/>
        </w:rPr>
        <w:t xml:space="preserve"> projects</w:t>
      </w:r>
      <w:r w:rsidR="00690447" w:rsidRPr="00083F82">
        <w:rPr>
          <w:rFonts w:ascii="Arial" w:hAnsi="Arial" w:cs="Arial"/>
        </w:rPr>
        <w:t>.  The funding must be shown to advance a program towards</w:t>
      </w:r>
      <w:r w:rsidR="003F62A3" w:rsidRPr="00083F82">
        <w:rPr>
          <w:rFonts w:ascii="Arial" w:hAnsi="Arial" w:cs="Arial"/>
        </w:rPr>
        <w:t xml:space="preserve"> it</w:t>
      </w:r>
      <w:r w:rsidR="004657F1" w:rsidRPr="00083F82">
        <w:rPr>
          <w:rFonts w:ascii="Arial" w:hAnsi="Arial" w:cs="Arial"/>
        </w:rPr>
        <w:t>s</w:t>
      </w:r>
      <w:r w:rsidR="003F62A3" w:rsidRPr="00083F82">
        <w:rPr>
          <w:rFonts w:ascii="Arial" w:hAnsi="Arial" w:cs="Arial"/>
        </w:rPr>
        <w:t xml:space="preserve"> ultimate commercialization product, as described in a </w:t>
      </w:r>
      <w:r w:rsidR="13FF66F0" w:rsidRPr="00083F82">
        <w:rPr>
          <w:rFonts w:ascii="Arial" w:hAnsi="Arial" w:cs="Arial"/>
        </w:rPr>
        <w:t>well-supported</w:t>
      </w:r>
      <w:r w:rsidR="003F62A3" w:rsidRPr="00083F82">
        <w:rPr>
          <w:rFonts w:ascii="Arial" w:hAnsi="Arial" w:cs="Arial"/>
        </w:rPr>
        <w:t xml:space="preserve"> Target Product Profile</w:t>
      </w:r>
    </w:p>
    <w:p w14:paraId="2CD7277B" w14:textId="29860E42" w:rsidR="00E43E73" w:rsidRPr="00FE30EC" w:rsidRDefault="00E43E73" w:rsidP="00E43E73">
      <w:pPr>
        <w:numPr>
          <w:ilvl w:val="0"/>
          <w:numId w:val="3"/>
        </w:numPr>
        <w:rPr>
          <w:rFonts w:ascii="Arial" w:hAnsi="Arial" w:cs="Arial"/>
          <w:b/>
          <w:bCs/>
          <w:i/>
          <w:iCs/>
        </w:rPr>
      </w:pPr>
      <w:r w:rsidRPr="00FE30EC">
        <w:rPr>
          <w:rFonts w:ascii="Arial" w:hAnsi="Arial" w:cs="Arial"/>
          <w:b/>
          <w:bCs/>
          <w:i/>
          <w:iCs/>
          <w:lang w:val="en-US"/>
        </w:rPr>
        <w:t>When do projects need to be complete</w:t>
      </w:r>
      <w:r w:rsidR="00117A50" w:rsidRPr="00FE30EC">
        <w:rPr>
          <w:rFonts w:ascii="Arial" w:hAnsi="Arial" w:cs="Arial"/>
          <w:b/>
          <w:bCs/>
          <w:i/>
          <w:iCs/>
          <w:lang w:val="en-US"/>
        </w:rPr>
        <w:t>d</w:t>
      </w:r>
      <w:r w:rsidRPr="00FE30EC">
        <w:rPr>
          <w:rFonts w:ascii="Arial" w:hAnsi="Arial" w:cs="Arial"/>
          <w:b/>
          <w:bCs/>
          <w:i/>
          <w:iCs/>
          <w:lang w:val="en-US"/>
        </w:rPr>
        <w:t>?</w:t>
      </w:r>
    </w:p>
    <w:p w14:paraId="27586491" w14:textId="4F31133D" w:rsidR="00E43E73" w:rsidRPr="00083F82" w:rsidRDefault="425907BE" w:rsidP="003F62A3">
      <w:pPr>
        <w:numPr>
          <w:ilvl w:val="1"/>
          <w:numId w:val="3"/>
        </w:numPr>
        <w:rPr>
          <w:rFonts w:ascii="Arial" w:hAnsi="Arial" w:cs="Arial"/>
        </w:rPr>
      </w:pPr>
      <w:r w:rsidRPr="00083F82">
        <w:rPr>
          <w:rFonts w:ascii="Arial" w:hAnsi="Arial" w:cs="Arial"/>
          <w:lang w:val="en-US"/>
        </w:rPr>
        <w:t>The program</w:t>
      </w:r>
      <w:r w:rsidR="00165749" w:rsidRPr="00083F82">
        <w:rPr>
          <w:rFonts w:ascii="Arial" w:hAnsi="Arial" w:cs="Arial"/>
          <w:lang w:val="en-US"/>
        </w:rPr>
        <w:t xml:space="preserve"> ends March 31, 202</w:t>
      </w:r>
      <w:r w:rsidR="00B97E41">
        <w:rPr>
          <w:rFonts w:ascii="Arial" w:hAnsi="Arial" w:cs="Arial"/>
          <w:lang w:val="en-US"/>
        </w:rPr>
        <w:t>7</w:t>
      </w:r>
      <w:r w:rsidR="00165749" w:rsidRPr="00083F82">
        <w:rPr>
          <w:rFonts w:ascii="Arial" w:hAnsi="Arial" w:cs="Arial"/>
          <w:lang w:val="en-US"/>
        </w:rPr>
        <w:t xml:space="preserve">. </w:t>
      </w:r>
      <w:r w:rsidR="00A20002" w:rsidRPr="00083F82">
        <w:rPr>
          <w:rFonts w:ascii="Arial" w:hAnsi="Arial" w:cs="Arial"/>
          <w:lang w:val="en-US"/>
        </w:rPr>
        <w:t>Suggested final claim submissions should be received by Jan 31, 202</w:t>
      </w:r>
      <w:r w:rsidR="00052401">
        <w:rPr>
          <w:rFonts w:ascii="Arial" w:hAnsi="Arial" w:cs="Arial"/>
          <w:lang w:val="en-US"/>
        </w:rPr>
        <w:t>7</w:t>
      </w:r>
      <w:r w:rsidR="00A20002" w:rsidRPr="00083F82">
        <w:rPr>
          <w:rFonts w:ascii="Arial" w:hAnsi="Arial" w:cs="Arial"/>
          <w:lang w:val="en-US"/>
        </w:rPr>
        <w:t xml:space="preserve">. </w:t>
      </w:r>
      <w:r w:rsidR="00165749" w:rsidRPr="00083F82">
        <w:rPr>
          <w:rFonts w:ascii="Arial" w:hAnsi="Arial" w:cs="Arial"/>
          <w:lang w:val="en-US"/>
        </w:rPr>
        <w:t xml:space="preserve"> Claims for work conducted after </w:t>
      </w:r>
      <w:r w:rsidR="00184BE8" w:rsidRPr="00083F82">
        <w:rPr>
          <w:rFonts w:ascii="Arial" w:hAnsi="Arial" w:cs="Arial"/>
          <w:lang w:val="en-US"/>
        </w:rPr>
        <w:t xml:space="preserve">March 31, </w:t>
      </w:r>
      <w:r w:rsidR="00A80EBE" w:rsidRPr="00083F82">
        <w:rPr>
          <w:rFonts w:ascii="Arial" w:hAnsi="Arial" w:cs="Arial"/>
          <w:lang w:val="en-US"/>
        </w:rPr>
        <w:t>202</w:t>
      </w:r>
      <w:r w:rsidR="00052401">
        <w:rPr>
          <w:rFonts w:ascii="Arial" w:hAnsi="Arial" w:cs="Arial"/>
          <w:lang w:val="en-US"/>
        </w:rPr>
        <w:t>7</w:t>
      </w:r>
      <w:r w:rsidR="00A80EBE" w:rsidRPr="00083F82">
        <w:rPr>
          <w:rFonts w:ascii="Arial" w:hAnsi="Arial" w:cs="Arial"/>
          <w:lang w:val="en-US"/>
        </w:rPr>
        <w:t>,</w:t>
      </w:r>
      <w:r w:rsidR="00184BE8" w:rsidRPr="00083F82">
        <w:rPr>
          <w:rFonts w:ascii="Arial" w:hAnsi="Arial" w:cs="Arial"/>
          <w:lang w:val="en-US"/>
        </w:rPr>
        <w:t xml:space="preserve"> will not be eligible for re</w:t>
      </w:r>
      <w:r w:rsidR="000E2E8C" w:rsidRPr="00083F82">
        <w:rPr>
          <w:rFonts w:ascii="Arial" w:hAnsi="Arial" w:cs="Arial"/>
          <w:lang w:val="en-US"/>
        </w:rPr>
        <w:t>imbursement</w:t>
      </w:r>
      <w:r w:rsidR="00AE4F73" w:rsidRPr="00083F82">
        <w:rPr>
          <w:rFonts w:ascii="Arial" w:hAnsi="Arial" w:cs="Arial"/>
          <w:lang w:val="en-US"/>
        </w:rPr>
        <w:t>.</w:t>
      </w:r>
    </w:p>
    <w:p w14:paraId="55125E51" w14:textId="77777777" w:rsidR="00E43E73" w:rsidRPr="00FE30EC" w:rsidRDefault="00E43E73" w:rsidP="00E43E73">
      <w:pPr>
        <w:numPr>
          <w:ilvl w:val="0"/>
          <w:numId w:val="3"/>
        </w:numPr>
        <w:rPr>
          <w:rFonts w:ascii="Arial" w:hAnsi="Arial" w:cs="Arial"/>
          <w:b/>
          <w:bCs/>
          <w:i/>
          <w:iCs/>
        </w:rPr>
      </w:pPr>
      <w:r w:rsidRPr="00FE30EC">
        <w:rPr>
          <w:rFonts w:ascii="Arial" w:hAnsi="Arial" w:cs="Arial"/>
          <w:b/>
          <w:bCs/>
          <w:i/>
          <w:iCs/>
          <w:lang w:val="en-US"/>
        </w:rPr>
        <w:t>Does the work have to be done in Canada?</w:t>
      </w:r>
    </w:p>
    <w:p w14:paraId="53EAE635" w14:textId="71A7085D" w:rsidR="00E43E73" w:rsidRPr="00083F82" w:rsidRDefault="00184BE8" w:rsidP="00184BE8">
      <w:pPr>
        <w:numPr>
          <w:ilvl w:val="1"/>
          <w:numId w:val="3"/>
        </w:numPr>
        <w:rPr>
          <w:rFonts w:ascii="Arial" w:hAnsi="Arial" w:cs="Arial"/>
        </w:rPr>
      </w:pPr>
      <w:r w:rsidRPr="00083F82">
        <w:rPr>
          <w:rFonts w:ascii="Arial" w:hAnsi="Arial" w:cs="Arial"/>
          <w:lang w:val="en-US"/>
        </w:rPr>
        <w:t>90% of the work must be done in Can</w:t>
      </w:r>
      <w:r w:rsidR="00285E5F" w:rsidRPr="00083F82">
        <w:rPr>
          <w:rFonts w:ascii="Arial" w:hAnsi="Arial" w:cs="Arial"/>
          <w:lang w:val="en-US"/>
        </w:rPr>
        <w:t>a</w:t>
      </w:r>
      <w:r w:rsidRPr="00083F82">
        <w:rPr>
          <w:rFonts w:ascii="Arial" w:hAnsi="Arial" w:cs="Arial"/>
          <w:lang w:val="en-US"/>
        </w:rPr>
        <w:t>da</w:t>
      </w:r>
      <w:r w:rsidR="00AE4F73" w:rsidRPr="00083F82">
        <w:rPr>
          <w:rFonts w:ascii="Arial" w:hAnsi="Arial" w:cs="Arial"/>
          <w:lang w:val="en-US"/>
        </w:rPr>
        <w:t>.</w:t>
      </w:r>
    </w:p>
    <w:p w14:paraId="3CB931F4" w14:textId="77777777" w:rsidR="00E43E73" w:rsidRPr="00FE30EC" w:rsidRDefault="00E43E73" w:rsidP="00E43E73">
      <w:pPr>
        <w:numPr>
          <w:ilvl w:val="0"/>
          <w:numId w:val="3"/>
        </w:numPr>
        <w:rPr>
          <w:rFonts w:ascii="Arial" w:hAnsi="Arial" w:cs="Arial"/>
          <w:b/>
          <w:bCs/>
          <w:i/>
          <w:iCs/>
        </w:rPr>
      </w:pPr>
      <w:r w:rsidRPr="00FE30EC">
        <w:rPr>
          <w:rFonts w:ascii="Arial" w:hAnsi="Arial" w:cs="Arial"/>
          <w:b/>
          <w:bCs/>
          <w:i/>
          <w:iCs/>
          <w:lang w:val="en-US"/>
        </w:rPr>
        <w:t>Do applicants need to be Canadian?</w:t>
      </w:r>
    </w:p>
    <w:p w14:paraId="5BE71890" w14:textId="450E6108" w:rsidR="00E43E73" w:rsidRPr="00083F82" w:rsidRDefault="00285E5F" w:rsidP="00285E5F">
      <w:pPr>
        <w:numPr>
          <w:ilvl w:val="1"/>
          <w:numId w:val="3"/>
        </w:numPr>
        <w:rPr>
          <w:rFonts w:ascii="Arial" w:hAnsi="Arial" w:cs="Arial"/>
        </w:rPr>
      </w:pPr>
      <w:r w:rsidRPr="00083F82">
        <w:rPr>
          <w:rFonts w:ascii="Arial" w:hAnsi="Arial" w:cs="Arial"/>
          <w:lang w:val="en-US"/>
        </w:rPr>
        <w:t>The fund is targeted to support Canadian companies or research at Canadian institutions</w:t>
      </w:r>
      <w:r w:rsidR="00081C48" w:rsidRPr="00083F82">
        <w:rPr>
          <w:rFonts w:ascii="Arial" w:hAnsi="Arial" w:cs="Arial"/>
          <w:lang w:val="en-US"/>
        </w:rPr>
        <w:t>.</w:t>
      </w:r>
    </w:p>
    <w:p w14:paraId="27BE2007" w14:textId="77777777" w:rsidR="00E43E73" w:rsidRPr="00FE30EC" w:rsidRDefault="00E43E73" w:rsidP="00E43E73">
      <w:pPr>
        <w:numPr>
          <w:ilvl w:val="0"/>
          <w:numId w:val="3"/>
        </w:numPr>
        <w:rPr>
          <w:rFonts w:ascii="Arial" w:hAnsi="Arial" w:cs="Arial"/>
          <w:b/>
          <w:bCs/>
          <w:i/>
          <w:iCs/>
        </w:rPr>
      </w:pPr>
      <w:r w:rsidRPr="00FE30EC">
        <w:rPr>
          <w:rFonts w:ascii="Arial" w:hAnsi="Arial" w:cs="Arial"/>
          <w:b/>
          <w:bCs/>
          <w:i/>
          <w:iCs/>
          <w:lang w:val="en-US"/>
        </w:rPr>
        <w:t>Can project collaborators be from outside Canada?</w:t>
      </w:r>
    </w:p>
    <w:p w14:paraId="0476BDC8" w14:textId="11475895" w:rsidR="00E43E73" w:rsidRPr="00083F82" w:rsidRDefault="007913CF" w:rsidP="007913CF">
      <w:pPr>
        <w:numPr>
          <w:ilvl w:val="1"/>
          <w:numId w:val="3"/>
        </w:numPr>
        <w:rPr>
          <w:rFonts w:ascii="Arial" w:hAnsi="Arial" w:cs="Arial"/>
        </w:rPr>
      </w:pPr>
      <w:r w:rsidRPr="00083F82">
        <w:rPr>
          <w:rFonts w:ascii="Arial" w:hAnsi="Arial" w:cs="Arial"/>
          <w:lang w:val="en-US"/>
        </w:rPr>
        <w:t>Yes, collaborators can be from outside of Canad</w:t>
      </w:r>
      <w:r w:rsidR="006921F4" w:rsidRPr="00083F82">
        <w:rPr>
          <w:rFonts w:ascii="Arial" w:hAnsi="Arial" w:cs="Arial"/>
          <w:lang w:val="en-US"/>
        </w:rPr>
        <w:t>a, but</w:t>
      </w:r>
      <w:r w:rsidR="00081C48" w:rsidRPr="00083F82">
        <w:rPr>
          <w:rFonts w:ascii="Arial" w:hAnsi="Arial" w:cs="Arial"/>
          <w:lang w:val="en-US"/>
        </w:rPr>
        <w:t xml:space="preserve"> are still</w:t>
      </w:r>
      <w:r w:rsidR="006921F4" w:rsidRPr="00083F82">
        <w:rPr>
          <w:rFonts w:ascii="Arial" w:hAnsi="Arial" w:cs="Arial"/>
          <w:lang w:val="en-US"/>
        </w:rPr>
        <w:t xml:space="preserve"> subject to the 90% </w:t>
      </w:r>
      <w:r w:rsidR="00367677" w:rsidRPr="00083F82">
        <w:rPr>
          <w:rFonts w:ascii="Arial" w:hAnsi="Arial" w:cs="Arial"/>
          <w:lang w:val="en-US"/>
        </w:rPr>
        <w:t>of overall work being done in Canada</w:t>
      </w:r>
      <w:r w:rsidR="00081C48" w:rsidRPr="00083F82">
        <w:rPr>
          <w:rFonts w:ascii="Arial" w:hAnsi="Arial" w:cs="Arial"/>
          <w:lang w:val="en-US"/>
        </w:rPr>
        <w:t>.</w:t>
      </w:r>
    </w:p>
    <w:p w14:paraId="43DF83D6" w14:textId="77777777" w:rsidR="00E43E73" w:rsidRPr="00FE30EC" w:rsidRDefault="00E43E73" w:rsidP="00E43E73">
      <w:pPr>
        <w:numPr>
          <w:ilvl w:val="0"/>
          <w:numId w:val="3"/>
        </w:numPr>
        <w:rPr>
          <w:rFonts w:ascii="Arial" w:hAnsi="Arial" w:cs="Arial"/>
          <w:b/>
          <w:bCs/>
          <w:i/>
          <w:iCs/>
        </w:rPr>
      </w:pPr>
      <w:r w:rsidRPr="00FE30EC">
        <w:rPr>
          <w:rFonts w:ascii="Arial" w:hAnsi="Arial" w:cs="Arial"/>
          <w:b/>
          <w:bCs/>
          <w:i/>
          <w:iCs/>
          <w:lang w:val="en-US"/>
        </w:rPr>
        <w:t>What sources of funds are acceptable for matching?</w:t>
      </w:r>
    </w:p>
    <w:p w14:paraId="5D880959" w14:textId="5BD77E0F" w:rsidR="0059550A" w:rsidRPr="00083F82" w:rsidRDefault="0059550A" w:rsidP="0059550A">
      <w:pPr>
        <w:numPr>
          <w:ilvl w:val="1"/>
          <w:numId w:val="3"/>
        </w:numPr>
        <w:rPr>
          <w:rFonts w:ascii="Arial" w:hAnsi="Arial" w:cs="Arial"/>
        </w:rPr>
      </w:pPr>
      <w:r w:rsidRPr="00083F82">
        <w:rPr>
          <w:rFonts w:ascii="Arial" w:hAnsi="Arial" w:cs="Arial"/>
          <w:lang w:val="en-US"/>
        </w:rPr>
        <w:t xml:space="preserve">A </w:t>
      </w:r>
      <w:r w:rsidR="00A80EBE" w:rsidRPr="00083F82">
        <w:rPr>
          <w:rFonts w:ascii="Arial" w:hAnsi="Arial" w:cs="Arial"/>
          <w:lang w:val="en-US"/>
        </w:rPr>
        <w:t>variety of</w:t>
      </w:r>
      <w:r w:rsidRPr="00083F82">
        <w:rPr>
          <w:rFonts w:ascii="Arial" w:hAnsi="Arial" w:cs="Arial"/>
          <w:lang w:val="en-US"/>
        </w:rPr>
        <w:t xml:space="preserve"> funds are eligible for matching</w:t>
      </w:r>
      <w:r w:rsidR="59A824C7" w:rsidRPr="00083F82">
        <w:rPr>
          <w:rFonts w:ascii="Arial" w:hAnsi="Arial" w:cs="Arial"/>
          <w:lang w:val="en-US"/>
        </w:rPr>
        <w:t>, including corporate funds, foundations, and academic sources</w:t>
      </w:r>
      <w:r w:rsidRPr="00083F82">
        <w:rPr>
          <w:rFonts w:ascii="Arial" w:hAnsi="Arial" w:cs="Arial"/>
          <w:lang w:val="en-US"/>
        </w:rPr>
        <w:t xml:space="preserve">. </w:t>
      </w:r>
      <w:r w:rsidR="11E67395" w:rsidRPr="00083F82">
        <w:rPr>
          <w:rFonts w:ascii="Arial" w:hAnsi="Arial" w:cs="Arial"/>
          <w:lang w:val="en-US"/>
        </w:rPr>
        <w:t>Other G</w:t>
      </w:r>
      <w:r w:rsidR="00BA7D47" w:rsidRPr="00083F82">
        <w:rPr>
          <w:rFonts w:ascii="Arial" w:hAnsi="Arial" w:cs="Arial"/>
          <w:lang w:val="en-US"/>
        </w:rPr>
        <w:t>overnment funding is permitted (Municipal, Provincial, Territorial, Federal) so long as the total contribution from Government sources does not exceed 75%</w:t>
      </w:r>
      <w:r w:rsidR="00364A82" w:rsidRPr="00083F82">
        <w:rPr>
          <w:rFonts w:ascii="Arial" w:hAnsi="Arial" w:cs="Arial"/>
          <w:lang w:val="en-US"/>
        </w:rPr>
        <w:t xml:space="preserve"> of your project’s eligible costs/expenses</w:t>
      </w:r>
      <w:r w:rsidR="00BA7D47" w:rsidRPr="00083F82">
        <w:rPr>
          <w:rFonts w:ascii="Arial" w:hAnsi="Arial" w:cs="Arial"/>
          <w:lang w:val="en-US"/>
        </w:rPr>
        <w:t>.</w:t>
      </w:r>
      <w:r w:rsidRPr="00083F82">
        <w:rPr>
          <w:rFonts w:ascii="Arial" w:hAnsi="Arial" w:cs="Arial"/>
          <w:lang w:val="en-US"/>
        </w:rPr>
        <w:t xml:space="preserve"> </w:t>
      </w:r>
    </w:p>
    <w:p w14:paraId="70D173AB" w14:textId="77777777" w:rsidR="00E43E73" w:rsidRPr="00FE30EC" w:rsidRDefault="00E43E73" w:rsidP="00E43E73">
      <w:pPr>
        <w:numPr>
          <w:ilvl w:val="0"/>
          <w:numId w:val="3"/>
        </w:numPr>
        <w:rPr>
          <w:rFonts w:ascii="Arial" w:hAnsi="Arial" w:cs="Arial"/>
          <w:b/>
          <w:bCs/>
          <w:i/>
          <w:iCs/>
        </w:rPr>
      </w:pPr>
      <w:r w:rsidRPr="00FE30EC">
        <w:rPr>
          <w:rFonts w:ascii="Arial" w:hAnsi="Arial" w:cs="Arial"/>
          <w:b/>
          <w:bCs/>
          <w:i/>
          <w:iCs/>
          <w:lang w:val="en-US"/>
        </w:rPr>
        <w:t>What kinds of expenses are eligible?</w:t>
      </w:r>
    </w:p>
    <w:p w14:paraId="61740172" w14:textId="513EBA6E" w:rsidR="00E43E73" w:rsidRPr="00083F82" w:rsidRDefault="0074107A" w:rsidP="3062D869">
      <w:pPr>
        <w:numPr>
          <w:ilvl w:val="1"/>
          <w:numId w:val="3"/>
        </w:numPr>
        <w:rPr>
          <w:rFonts w:ascii="Arial" w:hAnsi="Arial" w:cs="Arial"/>
          <w:lang w:val="en-US"/>
        </w:rPr>
      </w:pPr>
      <w:r w:rsidRPr="00083F82">
        <w:rPr>
          <w:rFonts w:ascii="Arial" w:hAnsi="Arial" w:cs="Arial"/>
          <w:lang w:val="en-US"/>
        </w:rPr>
        <w:t xml:space="preserve">Eligible project costs must be reasonable and </w:t>
      </w:r>
      <w:r w:rsidR="001C097A" w:rsidRPr="00083F82">
        <w:rPr>
          <w:rFonts w:ascii="Arial" w:hAnsi="Arial" w:cs="Arial"/>
          <w:lang w:val="en-US"/>
        </w:rPr>
        <w:t xml:space="preserve">related to eligible project activities. </w:t>
      </w:r>
      <w:r w:rsidR="0003439F" w:rsidRPr="00083F82">
        <w:rPr>
          <w:rFonts w:ascii="Arial" w:hAnsi="Arial" w:cs="Arial"/>
          <w:lang w:val="en-US"/>
        </w:rPr>
        <w:t xml:space="preserve">Project costs must only include actual expenses that are incurred and traceable. </w:t>
      </w:r>
      <w:r w:rsidR="00413BD5" w:rsidRPr="00083F82">
        <w:rPr>
          <w:rFonts w:ascii="Arial" w:hAnsi="Arial" w:cs="Arial"/>
          <w:lang w:val="en-US"/>
        </w:rPr>
        <w:t>Direct labour, equipment, consultants, contract research, certain travel and consumables are typically eligible costs.</w:t>
      </w:r>
      <w:r w:rsidR="184D09F9" w:rsidRPr="00083F82">
        <w:rPr>
          <w:rFonts w:ascii="Arial" w:hAnsi="Arial" w:cs="Arial"/>
          <w:lang w:val="en-US"/>
        </w:rPr>
        <w:t xml:space="preserve"> In-kind services are not considered an eligible expense.</w:t>
      </w:r>
      <w:r w:rsidR="00413BD5" w:rsidRPr="00083F82">
        <w:rPr>
          <w:rFonts w:ascii="Arial" w:hAnsi="Arial" w:cs="Arial"/>
          <w:lang w:val="en-US"/>
        </w:rPr>
        <w:t xml:space="preserve"> A full list of eligible </w:t>
      </w:r>
      <w:r w:rsidR="00A80EBE" w:rsidRPr="00083F82">
        <w:rPr>
          <w:rFonts w:ascii="Arial" w:hAnsi="Arial" w:cs="Arial"/>
          <w:lang w:val="en-US"/>
        </w:rPr>
        <w:t>costs is</w:t>
      </w:r>
      <w:r w:rsidR="00CD21ED" w:rsidRPr="00083F82">
        <w:rPr>
          <w:rFonts w:ascii="Arial" w:hAnsi="Arial" w:cs="Arial"/>
          <w:lang w:val="en-US"/>
        </w:rPr>
        <w:t xml:space="preserve"> available</w:t>
      </w:r>
      <w:r w:rsidR="00413BD5" w:rsidRPr="00083F82">
        <w:rPr>
          <w:rFonts w:ascii="Arial" w:hAnsi="Arial" w:cs="Arial"/>
          <w:lang w:val="en-US"/>
        </w:rPr>
        <w:t xml:space="preserve"> on our website </w:t>
      </w:r>
      <w:r w:rsidR="00CD21ED" w:rsidRPr="00083F82">
        <w:rPr>
          <w:rFonts w:ascii="Arial" w:hAnsi="Arial" w:cs="Arial"/>
          <w:lang w:val="en-US"/>
        </w:rPr>
        <w:t>under the call for proposals tab.</w:t>
      </w:r>
    </w:p>
    <w:p w14:paraId="2E4F598A" w14:textId="42FF1999" w:rsidR="00E43E73" w:rsidRPr="00FE30EC" w:rsidRDefault="00E43E73" w:rsidP="00E43E73">
      <w:pPr>
        <w:numPr>
          <w:ilvl w:val="0"/>
          <w:numId w:val="3"/>
        </w:numPr>
        <w:rPr>
          <w:rFonts w:ascii="Arial" w:hAnsi="Arial" w:cs="Arial"/>
          <w:b/>
          <w:bCs/>
          <w:i/>
          <w:iCs/>
        </w:rPr>
      </w:pPr>
      <w:r w:rsidRPr="00FE30EC">
        <w:rPr>
          <w:rFonts w:ascii="Arial" w:hAnsi="Arial" w:cs="Arial"/>
          <w:b/>
          <w:bCs/>
          <w:i/>
          <w:iCs/>
          <w:lang w:val="en-US"/>
        </w:rPr>
        <w:t xml:space="preserve">Does the CMIE ask for any </w:t>
      </w:r>
      <w:r w:rsidR="002E0BDB" w:rsidRPr="00FE30EC">
        <w:rPr>
          <w:rFonts w:ascii="Arial" w:hAnsi="Arial" w:cs="Arial"/>
          <w:b/>
          <w:bCs/>
          <w:i/>
          <w:iCs/>
          <w:lang w:val="en-US"/>
        </w:rPr>
        <w:t>Intellectual Property (</w:t>
      </w:r>
      <w:r w:rsidRPr="00FE30EC">
        <w:rPr>
          <w:rFonts w:ascii="Arial" w:hAnsi="Arial" w:cs="Arial"/>
          <w:b/>
          <w:bCs/>
          <w:i/>
          <w:iCs/>
          <w:lang w:val="en-US"/>
        </w:rPr>
        <w:t>IP</w:t>
      </w:r>
      <w:r w:rsidR="002E0BDB" w:rsidRPr="00FE30EC">
        <w:rPr>
          <w:rFonts w:ascii="Arial" w:hAnsi="Arial" w:cs="Arial"/>
          <w:b/>
          <w:bCs/>
          <w:i/>
          <w:iCs/>
          <w:lang w:val="en-US"/>
        </w:rPr>
        <w:t>)</w:t>
      </w:r>
      <w:r w:rsidRPr="00FE30EC">
        <w:rPr>
          <w:rFonts w:ascii="Arial" w:hAnsi="Arial" w:cs="Arial"/>
          <w:b/>
          <w:bCs/>
          <w:i/>
          <w:iCs/>
          <w:lang w:val="en-US"/>
        </w:rPr>
        <w:t xml:space="preserve"> rights, or commercialization rights to project IP?</w:t>
      </w:r>
    </w:p>
    <w:p w14:paraId="70F00542" w14:textId="3E04AB13" w:rsidR="00FE30EC" w:rsidRPr="009E443B" w:rsidRDefault="002C23B3" w:rsidP="009E443B">
      <w:pPr>
        <w:numPr>
          <w:ilvl w:val="1"/>
          <w:numId w:val="3"/>
        </w:numPr>
        <w:rPr>
          <w:rFonts w:ascii="Arial" w:hAnsi="Arial" w:cs="Arial"/>
        </w:rPr>
      </w:pPr>
      <w:r w:rsidRPr="00083F82">
        <w:rPr>
          <w:rFonts w:ascii="Arial" w:hAnsi="Arial" w:cs="Arial"/>
          <w:lang w:val="en-US"/>
        </w:rPr>
        <w:t xml:space="preserve">No, the </w:t>
      </w:r>
      <w:r w:rsidR="00BC5249" w:rsidRPr="00083F82">
        <w:rPr>
          <w:rFonts w:ascii="Arial" w:hAnsi="Arial" w:cs="Arial"/>
          <w:lang w:val="en-US"/>
        </w:rPr>
        <w:t xml:space="preserve">IP rights will remain solely with the owners of the program.  However, the </w:t>
      </w:r>
      <w:r w:rsidR="0052508C" w:rsidRPr="00083F82">
        <w:rPr>
          <w:rFonts w:ascii="Arial" w:hAnsi="Arial" w:cs="Arial"/>
          <w:lang w:val="en-US"/>
        </w:rPr>
        <w:t>Ultimate R</w:t>
      </w:r>
      <w:r w:rsidR="002E0BDB" w:rsidRPr="00083F82">
        <w:rPr>
          <w:rFonts w:ascii="Arial" w:hAnsi="Arial" w:cs="Arial"/>
          <w:lang w:val="en-US"/>
        </w:rPr>
        <w:t>ecipients</w:t>
      </w:r>
      <w:r w:rsidR="00BC5249" w:rsidRPr="00083F82">
        <w:rPr>
          <w:rFonts w:ascii="Arial" w:hAnsi="Arial" w:cs="Arial"/>
          <w:lang w:val="en-US"/>
        </w:rPr>
        <w:t xml:space="preserve"> of the funding are expected to have a plan to protect and commercialize the IP developed under this program</w:t>
      </w:r>
      <w:r w:rsidR="002E0BDB" w:rsidRPr="00083F82">
        <w:rPr>
          <w:rFonts w:ascii="Arial" w:hAnsi="Arial" w:cs="Arial"/>
          <w:lang w:val="en-US"/>
        </w:rPr>
        <w:t>.</w:t>
      </w:r>
      <w:r w:rsidR="0052508C" w:rsidRPr="00083F82">
        <w:rPr>
          <w:rFonts w:ascii="Arial" w:hAnsi="Arial" w:cs="Arial"/>
          <w:lang w:val="en-US"/>
        </w:rPr>
        <w:t xml:space="preserve"> </w:t>
      </w:r>
      <w:r w:rsidR="008F7645" w:rsidRPr="00083F82">
        <w:rPr>
          <w:rFonts w:ascii="Arial" w:hAnsi="Arial" w:cs="Arial"/>
          <w:lang w:val="en-US"/>
        </w:rPr>
        <w:t xml:space="preserve">Ultimate Recipients are </w:t>
      </w:r>
      <w:r w:rsidR="008F7645" w:rsidRPr="00083F82">
        <w:rPr>
          <w:rFonts w:ascii="Arial" w:hAnsi="Arial" w:cs="Arial"/>
          <w:lang w:val="en-US"/>
        </w:rPr>
        <w:lastRenderedPageBreak/>
        <w:t xml:space="preserve">required to hold the rights to their project IP for 5 years following </w:t>
      </w:r>
      <w:r w:rsidR="00620E3E" w:rsidRPr="00083F82">
        <w:rPr>
          <w:rFonts w:ascii="Arial" w:hAnsi="Arial" w:cs="Arial"/>
          <w:lang w:val="en-US"/>
        </w:rPr>
        <w:t xml:space="preserve">the completion of their project. </w:t>
      </w:r>
    </w:p>
    <w:p w14:paraId="352AC4B2" w14:textId="77777777" w:rsidR="00E43E73" w:rsidRPr="00FE30EC" w:rsidRDefault="00E43E73" w:rsidP="00E43E73">
      <w:pPr>
        <w:numPr>
          <w:ilvl w:val="0"/>
          <w:numId w:val="3"/>
        </w:numPr>
        <w:rPr>
          <w:rFonts w:ascii="Arial" w:hAnsi="Arial" w:cs="Arial"/>
          <w:b/>
          <w:bCs/>
          <w:i/>
          <w:iCs/>
        </w:rPr>
      </w:pPr>
      <w:r w:rsidRPr="00FE30EC">
        <w:rPr>
          <w:rFonts w:ascii="Arial" w:hAnsi="Arial" w:cs="Arial"/>
          <w:b/>
          <w:bCs/>
          <w:i/>
          <w:iCs/>
          <w:lang w:val="en-US"/>
        </w:rPr>
        <w:t>Does the CMIE fund follow-on projects?</w:t>
      </w:r>
    </w:p>
    <w:p w14:paraId="294DBD7D" w14:textId="1046291E" w:rsidR="00E43E73" w:rsidRPr="00083F82" w:rsidRDefault="00317CFC" w:rsidP="00317CFC">
      <w:pPr>
        <w:numPr>
          <w:ilvl w:val="1"/>
          <w:numId w:val="3"/>
        </w:numPr>
        <w:rPr>
          <w:rFonts w:ascii="Arial" w:hAnsi="Arial" w:cs="Arial"/>
        </w:rPr>
      </w:pPr>
      <w:r w:rsidRPr="00083F82">
        <w:rPr>
          <w:rFonts w:ascii="Arial" w:hAnsi="Arial" w:cs="Arial"/>
          <w:lang w:val="en-US"/>
        </w:rPr>
        <w:t>Yes, successful projects in the first call are eligible to submit for follow</w:t>
      </w:r>
      <w:r w:rsidR="7DF0A97D" w:rsidRPr="00083F82">
        <w:rPr>
          <w:rFonts w:ascii="Arial" w:hAnsi="Arial" w:cs="Arial"/>
          <w:lang w:val="en-US"/>
        </w:rPr>
        <w:t>-</w:t>
      </w:r>
      <w:r w:rsidRPr="00083F82">
        <w:rPr>
          <w:rFonts w:ascii="Arial" w:hAnsi="Arial" w:cs="Arial"/>
          <w:lang w:val="en-US"/>
        </w:rPr>
        <w:t>on</w:t>
      </w:r>
      <w:r w:rsidR="00E543E4" w:rsidRPr="00083F82">
        <w:rPr>
          <w:rFonts w:ascii="Arial" w:hAnsi="Arial" w:cs="Arial"/>
          <w:lang w:val="en-US"/>
        </w:rPr>
        <w:t xml:space="preserve"> funding in subsequent calls for submissions</w:t>
      </w:r>
      <w:r w:rsidR="002E0BDB" w:rsidRPr="00083F82">
        <w:rPr>
          <w:rFonts w:ascii="Arial" w:hAnsi="Arial" w:cs="Arial"/>
          <w:lang w:val="en-US"/>
        </w:rPr>
        <w:t>.</w:t>
      </w:r>
    </w:p>
    <w:p w14:paraId="3FC55754" w14:textId="7CEB7331" w:rsidR="00D1740C" w:rsidRPr="00FE30EC" w:rsidRDefault="00D1740C" w:rsidP="13F8D11F">
      <w:pPr>
        <w:numPr>
          <w:ilvl w:val="0"/>
          <w:numId w:val="3"/>
        </w:numPr>
        <w:rPr>
          <w:rFonts w:ascii="Arial" w:hAnsi="Arial" w:cs="Arial"/>
          <w:b/>
          <w:bCs/>
          <w:i/>
          <w:iCs/>
          <w:lang w:val="en-US"/>
        </w:rPr>
      </w:pPr>
      <w:r w:rsidRPr="00FE30EC">
        <w:rPr>
          <w:rFonts w:ascii="Arial" w:hAnsi="Arial" w:cs="Arial"/>
          <w:b/>
          <w:bCs/>
          <w:i/>
          <w:iCs/>
          <w:lang w:val="en-US"/>
        </w:rPr>
        <w:t>How will project</w:t>
      </w:r>
      <w:r w:rsidR="00BD1C41" w:rsidRPr="00FE30EC">
        <w:rPr>
          <w:rFonts w:ascii="Arial" w:hAnsi="Arial" w:cs="Arial"/>
          <w:b/>
          <w:bCs/>
          <w:i/>
          <w:iCs/>
          <w:lang w:val="en-US"/>
        </w:rPr>
        <w:t>s</w:t>
      </w:r>
      <w:r w:rsidRPr="00FE30EC">
        <w:rPr>
          <w:rFonts w:ascii="Arial" w:hAnsi="Arial" w:cs="Arial"/>
          <w:b/>
          <w:bCs/>
          <w:i/>
          <w:iCs/>
          <w:lang w:val="en-US"/>
        </w:rPr>
        <w:t xml:space="preserve"> be evaluated? </w:t>
      </w:r>
    </w:p>
    <w:p w14:paraId="4E0DE6F4" w14:textId="225B5180" w:rsidR="00600BD2" w:rsidRPr="00083F82" w:rsidRDefault="00600BD2" w:rsidP="00600BD2">
      <w:pPr>
        <w:pStyle w:val="ListParagraph"/>
        <w:rPr>
          <w:rFonts w:ascii="Arial" w:eastAsia="Century Gothic" w:hAnsi="Arial" w:cs="Arial"/>
          <w:bCs/>
          <w:lang w:val="en-US"/>
        </w:rPr>
      </w:pPr>
      <w:r w:rsidRPr="00083F82">
        <w:rPr>
          <w:rFonts w:ascii="Arial" w:eastAsia="Century Gothic" w:hAnsi="Arial" w:cs="Arial"/>
          <w:lang w:val="en-US"/>
        </w:rPr>
        <w:t xml:space="preserve">Following the above criteria, reviewers will evaluate all Eligible Project applications using the rubric below as a guide. </w:t>
      </w:r>
    </w:p>
    <w:p w14:paraId="066207EB" w14:textId="77777777" w:rsidR="00600BD2" w:rsidRPr="00083F82" w:rsidRDefault="00600BD2" w:rsidP="00083F82">
      <w:pPr>
        <w:pStyle w:val="ListParagraph"/>
        <w:rPr>
          <w:rFonts w:ascii="Arial" w:eastAsia="Century Gothic" w:hAnsi="Arial" w:cs="Arial"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1820"/>
        <w:gridCol w:w="1500"/>
        <w:gridCol w:w="1977"/>
        <w:gridCol w:w="1953"/>
      </w:tblGrid>
      <w:tr w:rsidR="00600BD2" w:rsidRPr="00083F82" w14:paraId="0F2E2C5B" w14:textId="77777777" w:rsidTr="00A157C2">
        <w:trPr>
          <w:trHeight w:val="266"/>
        </w:trPr>
        <w:tc>
          <w:tcPr>
            <w:tcW w:w="2649" w:type="dxa"/>
            <w:shd w:val="pct20" w:color="auto" w:fill="auto"/>
            <w:tcMar>
              <w:top w:w="57" w:type="dxa"/>
              <w:bottom w:w="57" w:type="dxa"/>
            </w:tcMar>
          </w:tcPr>
          <w:p w14:paraId="79D67DB6" w14:textId="77777777" w:rsidR="00600BD2" w:rsidRPr="00083F82" w:rsidRDefault="00600BD2" w:rsidP="00A157C2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3F82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054" w:type="dxa"/>
            <w:shd w:val="pct20" w:color="auto" w:fill="auto"/>
            <w:tcMar>
              <w:top w:w="57" w:type="dxa"/>
              <w:bottom w:w="57" w:type="dxa"/>
            </w:tcMar>
          </w:tcPr>
          <w:p w14:paraId="34A1A9ED" w14:textId="77777777" w:rsidR="00600BD2" w:rsidRPr="00083F82" w:rsidRDefault="00600BD2" w:rsidP="00A157C2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3F82">
              <w:rPr>
                <w:rFonts w:ascii="Arial" w:hAnsi="Arial" w:cs="Arial"/>
                <w:b/>
              </w:rPr>
              <w:t>Fit</w:t>
            </w:r>
          </w:p>
        </w:tc>
        <w:tc>
          <w:tcPr>
            <w:tcW w:w="1500" w:type="dxa"/>
            <w:shd w:val="pct20" w:color="auto" w:fill="auto"/>
            <w:tcMar>
              <w:top w:w="57" w:type="dxa"/>
              <w:bottom w:w="57" w:type="dxa"/>
            </w:tcMar>
          </w:tcPr>
          <w:p w14:paraId="3900B7D9" w14:textId="77777777" w:rsidR="00600BD2" w:rsidRPr="00083F82" w:rsidRDefault="00600BD2" w:rsidP="00A157C2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3F82">
              <w:rPr>
                <w:rFonts w:ascii="Arial" w:hAnsi="Arial" w:cs="Arial"/>
                <w:b/>
              </w:rPr>
              <w:t>Viability</w:t>
            </w:r>
          </w:p>
        </w:tc>
        <w:tc>
          <w:tcPr>
            <w:tcW w:w="1329" w:type="dxa"/>
            <w:shd w:val="pct20" w:color="auto" w:fill="auto"/>
            <w:tcMar>
              <w:top w:w="57" w:type="dxa"/>
              <w:bottom w:w="57" w:type="dxa"/>
            </w:tcMar>
          </w:tcPr>
          <w:p w14:paraId="6B99D5FF" w14:textId="77777777" w:rsidR="00600BD2" w:rsidRPr="00083F82" w:rsidRDefault="00600BD2" w:rsidP="00A157C2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3F82">
              <w:rPr>
                <w:rFonts w:ascii="Arial" w:hAnsi="Arial" w:cs="Arial"/>
                <w:b/>
              </w:rPr>
              <w:t>Potential Benefits</w:t>
            </w:r>
          </w:p>
        </w:tc>
        <w:tc>
          <w:tcPr>
            <w:tcW w:w="1818" w:type="dxa"/>
            <w:shd w:val="pct20" w:color="auto" w:fill="auto"/>
            <w:tcMar>
              <w:top w:w="57" w:type="dxa"/>
              <w:bottom w:w="57" w:type="dxa"/>
            </w:tcMar>
          </w:tcPr>
          <w:p w14:paraId="07B3937F" w14:textId="77777777" w:rsidR="00600BD2" w:rsidRPr="00083F82" w:rsidRDefault="00600BD2" w:rsidP="00A157C2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3F82">
              <w:rPr>
                <w:rFonts w:ascii="Arial" w:hAnsi="Arial" w:cs="Arial"/>
                <w:b/>
              </w:rPr>
              <w:t>DEI Considerations</w:t>
            </w:r>
          </w:p>
        </w:tc>
      </w:tr>
      <w:tr w:rsidR="00600BD2" w:rsidRPr="00083F82" w14:paraId="3EDADDDC" w14:textId="77777777" w:rsidTr="00A157C2">
        <w:trPr>
          <w:trHeight w:val="262"/>
        </w:trPr>
        <w:tc>
          <w:tcPr>
            <w:tcW w:w="2649" w:type="dxa"/>
            <w:tcMar>
              <w:top w:w="57" w:type="dxa"/>
              <w:bottom w:w="57" w:type="dxa"/>
            </w:tcMar>
          </w:tcPr>
          <w:p w14:paraId="796861E4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Supports future Canadian R&amp;D efforts</w:t>
            </w:r>
          </w:p>
        </w:tc>
        <w:tc>
          <w:tcPr>
            <w:tcW w:w="2054" w:type="dxa"/>
            <w:tcMar>
              <w:top w:w="57" w:type="dxa"/>
              <w:bottom w:w="57" w:type="dxa"/>
            </w:tcMar>
          </w:tcPr>
          <w:p w14:paraId="348068EE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Technological focus of project</w:t>
            </w:r>
          </w:p>
        </w:tc>
        <w:tc>
          <w:tcPr>
            <w:tcW w:w="1500" w:type="dxa"/>
            <w:tcMar>
              <w:top w:w="57" w:type="dxa"/>
              <w:bottom w:w="57" w:type="dxa"/>
            </w:tcMar>
          </w:tcPr>
          <w:p w14:paraId="3D464B1A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 xml:space="preserve">Team composition </w:t>
            </w:r>
          </w:p>
        </w:tc>
        <w:tc>
          <w:tcPr>
            <w:tcW w:w="1329" w:type="dxa"/>
            <w:tcMar>
              <w:top w:w="57" w:type="dxa"/>
              <w:bottom w:w="57" w:type="dxa"/>
            </w:tcMar>
          </w:tcPr>
          <w:p w14:paraId="4CBBF9B7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Innovation and commercialization in Canada</w:t>
            </w:r>
          </w:p>
        </w:tc>
        <w:tc>
          <w:tcPr>
            <w:tcW w:w="1818" w:type="dxa"/>
            <w:tcMar>
              <w:top w:w="57" w:type="dxa"/>
              <w:bottom w:w="57" w:type="dxa"/>
            </w:tcMar>
          </w:tcPr>
          <w:p w14:paraId="6267B014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Representation by underrepresented and equity-seeking groups</w:t>
            </w:r>
          </w:p>
        </w:tc>
      </w:tr>
      <w:tr w:rsidR="00600BD2" w:rsidRPr="00083F82" w14:paraId="45AA2713" w14:textId="77777777" w:rsidTr="00A157C2">
        <w:trPr>
          <w:trHeight w:val="262"/>
        </w:trPr>
        <w:tc>
          <w:tcPr>
            <w:tcW w:w="2649" w:type="dxa"/>
            <w:tcMar>
              <w:top w:w="57" w:type="dxa"/>
              <w:bottom w:w="57" w:type="dxa"/>
            </w:tcMar>
          </w:tcPr>
          <w:p w14:paraId="6D7E1EA8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Overcomes a deficiency in medical isotope production</w:t>
            </w:r>
          </w:p>
        </w:tc>
        <w:tc>
          <w:tcPr>
            <w:tcW w:w="2054" w:type="dxa"/>
            <w:tcMar>
              <w:top w:w="57" w:type="dxa"/>
              <w:bottom w:w="57" w:type="dxa"/>
            </w:tcMar>
          </w:tcPr>
          <w:p w14:paraId="1A6AF5CA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Contribution to network KPIs</w:t>
            </w:r>
          </w:p>
        </w:tc>
        <w:tc>
          <w:tcPr>
            <w:tcW w:w="1500" w:type="dxa"/>
            <w:tcMar>
              <w:top w:w="57" w:type="dxa"/>
              <w:bottom w:w="57" w:type="dxa"/>
            </w:tcMar>
          </w:tcPr>
          <w:p w14:paraId="14640972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Facilities and infrastructure</w:t>
            </w:r>
          </w:p>
        </w:tc>
        <w:tc>
          <w:tcPr>
            <w:tcW w:w="1329" w:type="dxa"/>
            <w:tcMar>
              <w:top w:w="57" w:type="dxa"/>
              <w:bottom w:w="57" w:type="dxa"/>
            </w:tcMar>
          </w:tcPr>
          <w:p w14:paraId="5CCB23B1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Involvement of SMEs and job creation</w:t>
            </w:r>
          </w:p>
        </w:tc>
        <w:tc>
          <w:tcPr>
            <w:tcW w:w="1818" w:type="dxa"/>
            <w:tcMar>
              <w:top w:w="57" w:type="dxa"/>
              <w:bottom w:w="57" w:type="dxa"/>
            </w:tcMar>
          </w:tcPr>
          <w:p w14:paraId="78252FDD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</w:p>
        </w:tc>
      </w:tr>
      <w:tr w:rsidR="00600BD2" w:rsidRPr="00083F82" w14:paraId="3F5417FC" w14:textId="77777777" w:rsidTr="00A157C2">
        <w:trPr>
          <w:trHeight w:val="262"/>
        </w:trPr>
        <w:tc>
          <w:tcPr>
            <w:tcW w:w="2649" w:type="dxa"/>
            <w:tcMar>
              <w:top w:w="57" w:type="dxa"/>
              <w:bottom w:w="57" w:type="dxa"/>
            </w:tcMar>
          </w:tcPr>
          <w:p w14:paraId="2BA9CC0F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Creates investment into Canadian organizations and/or furthers Canada’s position in medical isotope R&amp;D</w:t>
            </w:r>
          </w:p>
        </w:tc>
        <w:tc>
          <w:tcPr>
            <w:tcW w:w="2054" w:type="dxa"/>
            <w:tcMar>
              <w:top w:w="57" w:type="dxa"/>
              <w:bottom w:w="57" w:type="dxa"/>
            </w:tcMar>
          </w:tcPr>
          <w:p w14:paraId="2C063238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Contribution to network sustainability</w:t>
            </w:r>
          </w:p>
        </w:tc>
        <w:tc>
          <w:tcPr>
            <w:tcW w:w="1500" w:type="dxa"/>
            <w:tcMar>
              <w:top w:w="57" w:type="dxa"/>
              <w:bottom w:w="57" w:type="dxa"/>
            </w:tcMar>
          </w:tcPr>
          <w:p w14:paraId="04C14EDC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Risks and mitigation strategies</w:t>
            </w:r>
          </w:p>
        </w:tc>
        <w:tc>
          <w:tcPr>
            <w:tcW w:w="1329" w:type="dxa"/>
            <w:tcMar>
              <w:top w:w="57" w:type="dxa"/>
              <w:bottom w:w="57" w:type="dxa"/>
            </w:tcMar>
          </w:tcPr>
          <w:p w14:paraId="06FB1076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Benefits to healthcare and/or other sectors</w:t>
            </w:r>
          </w:p>
        </w:tc>
        <w:tc>
          <w:tcPr>
            <w:tcW w:w="1818" w:type="dxa"/>
            <w:tcMar>
              <w:top w:w="57" w:type="dxa"/>
              <w:bottom w:w="57" w:type="dxa"/>
            </w:tcMar>
          </w:tcPr>
          <w:p w14:paraId="68B33DBB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</w:p>
        </w:tc>
      </w:tr>
      <w:tr w:rsidR="00600BD2" w:rsidRPr="00083F82" w14:paraId="00C18CFB" w14:textId="77777777" w:rsidTr="00A157C2">
        <w:trPr>
          <w:trHeight w:val="262"/>
        </w:trPr>
        <w:tc>
          <w:tcPr>
            <w:tcW w:w="2649" w:type="dxa"/>
            <w:tcMar>
              <w:top w:w="57" w:type="dxa"/>
              <w:bottom w:w="57" w:type="dxa"/>
            </w:tcMar>
          </w:tcPr>
          <w:p w14:paraId="1828EB5A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54" w:type="dxa"/>
            <w:tcMar>
              <w:top w:w="57" w:type="dxa"/>
              <w:bottom w:w="57" w:type="dxa"/>
            </w:tcMar>
          </w:tcPr>
          <w:p w14:paraId="74D99623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Addresses and/or solves a problem within at least one technology focus area</w:t>
            </w:r>
          </w:p>
        </w:tc>
        <w:tc>
          <w:tcPr>
            <w:tcW w:w="1500" w:type="dxa"/>
            <w:tcMar>
              <w:top w:w="57" w:type="dxa"/>
              <w:bottom w:w="57" w:type="dxa"/>
            </w:tcMar>
          </w:tcPr>
          <w:p w14:paraId="5A61B0A1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Other funding sources</w:t>
            </w:r>
          </w:p>
        </w:tc>
        <w:tc>
          <w:tcPr>
            <w:tcW w:w="1329" w:type="dxa"/>
            <w:tcMar>
              <w:top w:w="57" w:type="dxa"/>
              <w:bottom w:w="57" w:type="dxa"/>
            </w:tcMar>
          </w:tcPr>
          <w:p w14:paraId="70C1EA53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Development of intellectual property for technology</w:t>
            </w:r>
          </w:p>
        </w:tc>
        <w:tc>
          <w:tcPr>
            <w:tcW w:w="1818" w:type="dxa"/>
            <w:tcMar>
              <w:top w:w="57" w:type="dxa"/>
              <w:bottom w:w="57" w:type="dxa"/>
            </w:tcMar>
          </w:tcPr>
          <w:p w14:paraId="5A476A30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1C4A2EFC" w14:textId="77777777" w:rsidR="00600BD2" w:rsidRDefault="00600BD2" w:rsidP="00083F82">
      <w:pPr>
        <w:pStyle w:val="ListParagraph"/>
        <w:rPr>
          <w:rFonts w:ascii="Arial" w:eastAsia="Century Gothic" w:hAnsi="Arial" w:cs="Arial"/>
          <w:bCs/>
          <w:lang w:val="en-US"/>
        </w:rPr>
      </w:pPr>
    </w:p>
    <w:p w14:paraId="7216E641" w14:textId="77777777" w:rsidR="00FE30EC" w:rsidRDefault="00FE30EC" w:rsidP="00083F82">
      <w:pPr>
        <w:pStyle w:val="ListParagraph"/>
        <w:rPr>
          <w:rFonts w:ascii="Arial" w:eastAsia="Century Gothic" w:hAnsi="Arial" w:cs="Arial"/>
          <w:bCs/>
          <w:lang w:val="en-US"/>
        </w:rPr>
      </w:pPr>
    </w:p>
    <w:p w14:paraId="647CAE54" w14:textId="77777777" w:rsidR="00FE30EC" w:rsidRDefault="00FE30EC" w:rsidP="00083F82">
      <w:pPr>
        <w:pStyle w:val="ListParagraph"/>
        <w:rPr>
          <w:rFonts w:ascii="Arial" w:eastAsia="Century Gothic" w:hAnsi="Arial" w:cs="Arial"/>
          <w:bCs/>
          <w:lang w:val="en-US"/>
        </w:rPr>
      </w:pPr>
    </w:p>
    <w:p w14:paraId="01831E02" w14:textId="77777777" w:rsidR="00FE30EC" w:rsidRDefault="00FE30EC" w:rsidP="00083F82">
      <w:pPr>
        <w:pStyle w:val="ListParagraph"/>
        <w:rPr>
          <w:rFonts w:ascii="Arial" w:eastAsia="Century Gothic" w:hAnsi="Arial" w:cs="Arial"/>
          <w:bCs/>
          <w:lang w:val="en-US"/>
        </w:rPr>
      </w:pPr>
    </w:p>
    <w:p w14:paraId="38E98CF7" w14:textId="77777777" w:rsidR="00FE30EC" w:rsidRDefault="00FE30EC" w:rsidP="00083F82">
      <w:pPr>
        <w:pStyle w:val="ListParagraph"/>
        <w:rPr>
          <w:rFonts w:ascii="Arial" w:eastAsia="Century Gothic" w:hAnsi="Arial" w:cs="Arial"/>
          <w:bCs/>
          <w:lang w:val="en-US"/>
        </w:rPr>
      </w:pPr>
    </w:p>
    <w:p w14:paraId="612501D6" w14:textId="77777777" w:rsidR="00FE30EC" w:rsidRPr="009E443B" w:rsidRDefault="00FE30EC" w:rsidP="009E443B">
      <w:pPr>
        <w:rPr>
          <w:rFonts w:ascii="Arial" w:eastAsia="Century Gothic" w:hAnsi="Arial" w:cs="Arial"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386"/>
      </w:tblGrid>
      <w:tr w:rsidR="00600BD2" w:rsidRPr="00083F82" w14:paraId="3F2BE664" w14:textId="77777777" w:rsidTr="00A157C2">
        <w:tc>
          <w:tcPr>
            <w:tcW w:w="1980" w:type="dxa"/>
            <w:shd w:val="pct20" w:color="auto" w:fill="auto"/>
            <w:tcMar>
              <w:top w:w="57" w:type="dxa"/>
              <w:bottom w:w="57" w:type="dxa"/>
            </w:tcMar>
          </w:tcPr>
          <w:p w14:paraId="64F93D0E" w14:textId="77777777" w:rsidR="00600BD2" w:rsidRPr="00083F82" w:rsidRDefault="00600BD2" w:rsidP="00A157C2">
            <w:pPr>
              <w:contextualSpacing/>
              <w:rPr>
                <w:rFonts w:ascii="Arial" w:hAnsi="Arial" w:cs="Arial"/>
                <w:b/>
                <w:bCs/>
              </w:rPr>
            </w:pPr>
            <w:r w:rsidRPr="00083F82">
              <w:rPr>
                <w:rFonts w:ascii="Arial" w:hAnsi="Arial" w:cs="Arial"/>
                <w:b/>
              </w:rPr>
              <w:lastRenderedPageBreak/>
              <w:t xml:space="preserve">Qualitative Rank </w:t>
            </w:r>
          </w:p>
        </w:tc>
        <w:tc>
          <w:tcPr>
            <w:tcW w:w="1984" w:type="dxa"/>
            <w:shd w:val="pct20" w:color="auto" w:fill="auto"/>
            <w:tcMar>
              <w:top w:w="57" w:type="dxa"/>
              <w:bottom w:w="57" w:type="dxa"/>
            </w:tcMar>
          </w:tcPr>
          <w:p w14:paraId="48A840AD" w14:textId="77777777" w:rsidR="00600BD2" w:rsidRPr="00083F82" w:rsidRDefault="00600BD2" w:rsidP="00A157C2">
            <w:pPr>
              <w:contextualSpacing/>
              <w:rPr>
                <w:rFonts w:ascii="Arial" w:hAnsi="Arial" w:cs="Arial"/>
                <w:b/>
                <w:bCs/>
              </w:rPr>
            </w:pPr>
            <w:r w:rsidRPr="00083F82">
              <w:rPr>
                <w:rFonts w:ascii="Arial" w:hAnsi="Arial" w:cs="Arial"/>
                <w:b/>
              </w:rPr>
              <w:t>Numerical Rank</w:t>
            </w:r>
          </w:p>
        </w:tc>
        <w:tc>
          <w:tcPr>
            <w:tcW w:w="5386" w:type="dxa"/>
            <w:shd w:val="pct20" w:color="auto" w:fill="auto"/>
            <w:tcMar>
              <w:top w:w="57" w:type="dxa"/>
              <w:bottom w:w="57" w:type="dxa"/>
            </w:tcMar>
          </w:tcPr>
          <w:p w14:paraId="79C6154B" w14:textId="77777777" w:rsidR="00600BD2" w:rsidRPr="00083F82" w:rsidRDefault="00600BD2" w:rsidP="00A157C2">
            <w:pPr>
              <w:contextualSpacing/>
              <w:rPr>
                <w:rFonts w:ascii="Arial" w:hAnsi="Arial" w:cs="Arial"/>
                <w:b/>
                <w:bCs/>
              </w:rPr>
            </w:pPr>
            <w:r w:rsidRPr="00083F82">
              <w:rPr>
                <w:rFonts w:ascii="Arial" w:hAnsi="Arial" w:cs="Arial"/>
                <w:b/>
              </w:rPr>
              <w:t xml:space="preserve">Description </w:t>
            </w:r>
          </w:p>
        </w:tc>
      </w:tr>
      <w:tr w:rsidR="00600BD2" w:rsidRPr="00083F82" w14:paraId="6B6AACE6" w14:textId="77777777" w:rsidTr="00A157C2">
        <w:tc>
          <w:tcPr>
            <w:tcW w:w="198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23265D2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High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14:paraId="3278D473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8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14:paraId="607B0B3A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Excellent with no weaknesses identified. Reviewer has very high confidence that the strengths in this criterion will drive the project to be successful.</w:t>
            </w:r>
          </w:p>
        </w:tc>
      </w:tr>
      <w:tr w:rsidR="00600BD2" w:rsidRPr="00083F82" w14:paraId="3F1DD014" w14:textId="77777777" w:rsidTr="00A157C2"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7677E4EB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14:paraId="709604D4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7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14:paraId="464423CA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Excellent with minor weaknesses identified. Reviewer has high confidence that, with slight improvements, the strengths in this criterion could drive the project to be successful.</w:t>
            </w:r>
          </w:p>
        </w:tc>
      </w:tr>
      <w:tr w:rsidR="00600BD2" w:rsidRPr="00083F82" w14:paraId="44FF05D9" w14:textId="77777777" w:rsidTr="00A157C2">
        <w:tc>
          <w:tcPr>
            <w:tcW w:w="198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75C464FB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 xml:space="preserve">Medium 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14:paraId="0A62E999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6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14:paraId="0FA8422A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Very good with minor weaknesses identified. The reviewer has confidence that, with moderate improvements, the strengths in this criterion could drive the project to be successful.</w:t>
            </w:r>
          </w:p>
        </w:tc>
      </w:tr>
      <w:tr w:rsidR="00600BD2" w:rsidRPr="00083F82" w14:paraId="28043DC2" w14:textId="77777777" w:rsidTr="00A157C2"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06901F57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14:paraId="620F0759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5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14:paraId="7599CAC1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 xml:space="preserve">Very good with moderate weaknesses identified. The reviewer has confidence that, with moderate improvements, the strengths in this criterion could drive the project to be successful. </w:t>
            </w:r>
          </w:p>
        </w:tc>
      </w:tr>
      <w:tr w:rsidR="00600BD2" w:rsidRPr="00083F82" w14:paraId="5FB989AF" w14:textId="77777777" w:rsidTr="00A157C2"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45C207D4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14:paraId="3FB32D60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4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14:paraId="57E0A227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Good with moderate weaknesses identified. The reviewer has some confidence that, with some necessary improvements, the strengths in this criterion could be enough to drive the project to be successful.</w:t>
            </w:r>
          </w:p>
        </w:tc>
      </w:tr>
      <w:tr w:rsidR="00600BD2" w:rsidRPr="00083F82" w14:paraId="51F015A2" w14:textId="77777777" w:rsidTr="00A157C2">
        <w:tc>
          <w:tcPr>
            <w:tcW w:w="198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BE3DE68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 xml:space="preserve">Low 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14:paraId="1FD821D6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3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14:paraId="4196D181" w14:textId="24527005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Fair with moderate weaknesses identified. The reviewer is not confident that the strengths in this criterion would be enough to drive the project to be successful.</w:t>
            </w:r>
          </w:p>
        </w:tc>
      </w:tr>
      <w:tr w:rsidR="00600BD2" w:rsidRPr="00083F82" w14:paraId="381C4AC4" w14:textId="77777777" w:rsidTr="00A157C2"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027AC48B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14:paraId="3AD2B00F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2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14:paraId="3FB905B2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Poor with moderate to major weaknesses identified. The proposal does not address the aspects in this criterion, does not demonstrate strengths needed for success, and/or shows uncorrectable flaws and weaknesses. Based on this criterion, the reviewer believes this proposal is not fundable.</w:t>
            </w:r>
          </w:p>
        </w:tc>
      </w:tr>
      <w:tr w:rsidR="00600BD2" w:rsidRPr="00083F82" w14:paraId="387DA149" w14:textId="77777777" w:rsidTr="00A157C2"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306D1786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14:paraId="642C2CBF" w14:textId="777777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1</w:t>
            </w:r>
          </w:p>
        </w:tc>
        <w:tc>
          <w:tcPr>
            <w:tcW w:w="5386" w:type="dxa"/>
            <w:tcMar>
              <w:top w:w="57" w:type="dxa"/>
              <w:bottom w:w="57" w:type="dxa"/>
            </w:tcMar>
          </w:tcPr>
          <w:p w14:paraId="0DBD76A7" w14:textId="09A04577" w:rsidR="00600BD2" w:rsidRPr="00083F82" w:rsidRDefault="00600BD2" w:rsidP="00A157C2">
            <w:pPr>
              <w:contextualSpacing/>
              <w:rPr>
                <w:rFonts w:ascii="Arial" w:hAnsi="Arial" w:cs="Arial"/>
              </w:rPr>
            </w:pPr>
            <w:r w:rsidRPr="00083F82">
              <w:rPr>
                <w:rFonts w:ascii="Arial" w:hAnsi="Arial" w:cs="Arial"/>
              </w:rPr>
              <w:t>Poor with major weaknesses identified. The proposal does not address the aspects in this criterion, does not demonstrate strengths needed for success, and/or shows uncorrectable flaws and weaknesses. Based on this criterion, the reviewer believes this proposal is not fundable.</w:t>
            </w:r>
          </w:p>
        </w:tc>
      </w:tr>
    </w:tbl>
    <w:p w14:paraId="11379F20" w14:textId="77777777" w:rsidR="00916A93" w:rsidRPr="00083F82" w:rsidRDefault="00916A93" w:rsidP="00083F82">
      <w:pPr>
        <w:rPr>
          <w:rFonts w:ascii="Arial" w:hAnsi="Arial" w:cs="Arial"/>
        </w:rPr>
      </w:pPr>
    </w:p>
    <w:p w14:paraId="63B8EE31" w14:textId="752481D7" w:rsidR="008D5C49" w:rsidRPr="00FE30EC" w:rsidRDefault="008D5C49">
      <w:pPr>
        <w:numPr>
          <w:ilvl w:val="0"/>
          <w:numId w:val="3"/>
        </w:numPr>
        <w:rPr>
          <w:rFonts w:ascii="Arial" w:hAnsi="Arial" w:cs="Arial"/>
          <w:b/>
          <w:bCs/>
          <w:i/>
          <w:iCs/>
        </w:rPr>
      </w:pPr>
      <w:r w:rsidRPr="00FE30EC">
        <w:rPr>
          <w:rFonts w:ascii="Arial" w:hAnsi="Arial" w:cs="Arial"/>
          <w:b/>
          <w:bCs/>
          <w:i/>
          <w:iCs/>
          <w:lang w:val="en-US"/>
        </w:rPr>
        <w:t>What is a Technology Readiness Level</w:t>
      </w:r>
      <w:r w:rsidR="00417931" w:rsidRPr="00FE30EC">
        <w:rPr>
          <w:rFonts w:ascii="Arial" w:hAnsi="Arial" w:cs="Arial"/>
          <w:b/>
          <w:bCs/>
          <w:i/>
          <w:iCs/>
          <w:lang w:val="en-US"/>
        </w:rPr>
        <w:t xml:space="preserve"> (TRL)</w:t>
      </w:r>
      <w:r w:rsidRPr="00FE30EC">
        <w:rPr>
          <w:rFonts w:ascii="Arial" w:hAnsi="Arial" w:cs="Arial"/>
          <w:b/>
          <w:bCs/>
          <w:i/>
          <w:iCs/>
          <w:lang w:val="en-US"/>
        </w:rPr>
        <w:t>, and how do I know what level my project is at?</w:t>
      </w:r>
    </w:p>
    <w:p w14:paraId="14E51030" w14:textId="109B14A7" w:rsidR="00083F82" w:rsidRPr="009E443B" w:rsidRDefault="6285EAF1" w:rsidP="009E443B">
      <w:pPr>
        <w:numPr>
          <w:ilvl w:val="1"/>
          <w:numId w:val="3"/>
        </w:numPr>
        <w:rPr>
          <w:rFonts w:ascii="Arial" w:eastAsia="Calibri" w:hAnsi="Arial" w:cs="Arial"/>
          <w:lang w:val="en-US"/>
        </w:rPr>
      </w:pPr>
      <w:r w:rsidRPr="00083F82">
        <w:rPr>
          <w:rFonts w:ascii="Arial" w:eastAsia="Calibri" w:hAnsi="Arial" w:cs="Arial"/>
          <w:lang w:val="en-US"/>
        </w:rPr>
        <w:t>Definitions of the nine Technology Readiness Levels are described below</w:t>
      </w:r>
      <w:r w:rsidR="009302B5" w:rsidRPr="00083F82">
        <w:rPr>
          <w:rFonts w:ascii="Arial" w:eastAsia="Calibri" w:hAnsi="Arial" w:cs="Arial"/>
          <w:lang w:val="en-US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3062D869" w:rsidRPr="00083F82" w14:paraId="181D3C59" w14:textId="77777777" w:rsidTr="3062D869">
        <w:trPr>
          <w:trHeight w:val="30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4C4215" w14:textId="1929BFCE" w:rsidR="3062D869" w:rsidRPr="00083F82" w:rsidRDefault="3062D869">
            <w:pPr>
              <w:rPr>
                <w:rFonts w:ascii="Arial" w:eastAsia="Calibri" w:hAnsi="Arial" w:cs="Arial"/>
              </w:rPr>
            </w:pPr>
            <w:r w:rsidRPr="00083F82">
              <w:rPr>
                <w:rFonts w:ascii="Arial" w:eastAsia="Calibri" w:hAnsi="Arial" w:cs="Arial"/>
              </w:rPr>
              <w:lastRenderedPageBreak/>
              <w:t>Technology Readiness Level (TRL)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588504" w14:textId="0A08D7A6" w:rsidR="3062D869" w:rsidRPr="00083F82" w:rsidRDefault="3062D869">
            <w:pPr>
              <w:rPr>
                <w:rFonts w:ascii="Arial" w:eastAsia="Calibri" w:hAnsi="Arial" w:cs="Arial"/>
              </w:rPr>
            </w:pPr>
            <w:r w:rsidRPr="00083F82">
              <w:rPr>
                <w:rFonts w:ascii="Arial" w:eastAsia="Calibri" w:hAnsi="Arial" w:cs="Arial"/>
              </w:rPr>
              <w:t>Description</w:t>
            </w:r>
          </w:p>
        </w:tc>
      </w:tr>
      <w:tr w:rsidR="3062D869" w:rsidRPr="00083F82" w14:paraId="35C39E5C" w14:textId="77777777" w:rsidTr="3062D869">
        <w:trPr>
          <w:trHeight w:val="30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7326B0" w14:textId="5F82209A" w:rsidR="3062D869" w:rsidRPr="00083F82" w:rsidRDefault="3062D869">
            <w:pPr>
              <w:rPr>
                <w:rFonts w:ascii="Arial" w:eastAsia="Calibri" w:hAnsi="Arial" w:cs="Arial"/>
              </w:rPr>
            </w:pPr>
            <w:r w:rsidRPr="00083F82">
              <w:rPr>
                <w:rFonts w:ascii="Arial" w:eastAsia="Calibri" w:hAnsi="Arial" w:cs="Arial"/>
              </w:rPr>
              <w:t>TRL 1—Basic principles observed and reported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FD4098" w14:textId="36B1B5B1" w:rsidR="3062D869" w:rsidRPr="00083F82" w:rsidRDefault="3062D869">
            <w:pPr>
              <w:rPr>
                <w:rFonts w:ascii="Arial" w:eastAsia="Calibri" w:hAnsi="Arial" w:cs="Arial"/>
              </w:rPr>
            </w:pPr>
            <w:r w:rsidRPr="00083F82">
              <w:rPr>
                <w:rFonts w:ascii="Arial" w:eastAsia="Calibri" w:hAnsi="Arial" w:cs="Arial"/>
              </w:rPr>
              <w:t>Lowest level of technology readiness. Scientific research begins to be translated into applied R&amp;D. Examples might include paper studies of a technology's basic properties.</w:t>
            </w:r>
          </w:p>
        </w:tc>
      </w:tr>
      <w:tr w:rsidR="3062D869" w:rsidRPr="00083F82" w14:paraId="7A81ADAE" w14:textId="77777777" w:rsidTr="3062D869">
        <w:trPr>
          <w:trHeight w:val="30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C86589" w14:textId="125AEF78" w:rsidR="3062D869" w:rsidRPr="00083F82" w:rsidRDefault="3062D869">
            <w:pPr>
              <w:rPr>
                <w:rFonts w:ascii="Arial" w:eastAsia="Calibri" w:hAnsi="Arial" w:cs="Arial"/>
              </w:rPr>
            </w:pPr>
            <w:r w:rsidRPr="00083F82">
              <w:rPr>
                <w:rFonts w:ascii="Arial" w:eastAsia="Calibri" w:hAnsi="Arial" w:cs="Arial"/>
              </w:rPr>
              <w:t>TRL 2—Technology concept and/or application formulated Invention begins.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4345B" w14:textId="2E34E960" w:rsidR="3062D869" w:rsidRPr="00083F82" w:rsidRDefault="3062D869">
            <w:pPr>
              <w:rPr>
                <w:rFonts w:ascii="Arial" w:eastAsia="Calibri" w:hAnsi="Arial" w:cs="Arial"/>
              </w:rPr>
            </w:pPr>
            <w:r w:rsidRPr="00083F82">
              <w:rPr>
                <w:rFonts w:ascii="Arial" w:eastAsia="Calibri" w:hAnsi="Arial" w:cs="Arial"/>
              </w:rPr>
              <w:t xml:space="preserve">Once basic principles are observed, practical applications can be invented. Applications are speculative, and there may be no proof or detailed analysis to support the assumptions. </w:t>
            </w:r>
          </w:p>
        </w:tc>
      </w:tr>
      <w:tr w:rsidR="3062D869" w:rsidRPr="00083F82" w14:paraId="34C447F7" w14:textId="77777777" w:rsidTr="3062D869">
        <w:trPr>
          <w:trHeight w:val="30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DC90A" w14:textId="7FD1FCD9" w:rsidR="3062D869" w:rsidRPr="00083F82" w:rsidRDefault="3062D869">
            <w:pPr>
              <w:rPr>
                <w:rFonts w:ascii="Arial" w:eastAsia="Calibri" w:hAnsi="Arial" w:cs="Arial"/>
              </w:rPr>
            </w:pPr>
            <w:r w:rsidRPr="00083F82">
              <w:rPr>
                <w:rFonts w:ascii="Arial" w:eastAsia="Calibri" w:hAnsi="Arial" w:cs="Arial"/>
              </w:rPr>
              <w:t>TRL 3—Analytical and experimental critical function and/or characteristic proof of concept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527047" w14:textId="2087F2D3" w:rsidR="3062D869" w:rsidRPr="00083F82" w:rsidRDefault="3062D869">
            <w:pPr>
              <w:rPr>
                <w:rFonts w:ascii="Arial" w:eastAsia="Calibri" w:hAnsi="Arial" w:cs="Arial"/>
              </w:rPr>
            </w:pPr>
            <w:r w:rsidRPr="00083F82">
              <w:rPr>
                <w:rFonts w:ascii="Arial" w:eastAsia="Calibri" w:hAnsi="Arial" w:cs="Arial"/>
              </w:rPr>
              <w:t>Active R&amp;D is initiated. This includes analytical studies and laboratory studies to physically validate the analytical predictions of separate elements of the technology.</w:t>
            </w:r>
          </w:p>
        </w:tc>
      </w:tr>
      <w:tr w:rsidR="3062D869" w:rsidRPr="00083F82" w14:paraId="3F92D2E4" w14:textId="77777777" w:rsidTr="3062D869">
        <w:trPr>
          <w:trHeight w:val="30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598B3" w14:textId="4ED260B8" w:rsidR="3062D869" w:rsidRPr="00083F82" w:rsidRDefault="3062D869">
            <w:pPr>
              <w:rPr>
                <w:rFonts w:ascii="Arial" w:eastAsia="Calibri" w:hAnsi="Arial" w:cs="Arial"/>
              </w:rPr>
            </w:pPr>
            <w:r w:rsidRPr="00083F82">
              <w:rPr>
                <w:rFonts w:ascii="Arial" w:eastAsia="Calibri" w:hAnsi="Arial" w:cs="Arial"/>
              </w:rPr>
              <w:t>TRL 4—Product and/or process validation in laboratory environment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55150" w14:textId="7C455CEB" w:rsidR="3062D869" w:rsidRPr="00083F82" w:rsidRDefault="3062D869">
            <w:pPr>
              <w:rPr>
                <w:rFonts w:ascii="Arial" w:eastAsia="Calibri" w:hAnsi="Arial" w:cs="Arial"/>
              </w:rPr>
            </w:pPr>
            <w:r w:rsidRPr="00083F82">
              <w:rPr>
                <w:rFonts w:ascii="Arial" w:eastAsia="Calibri" w:hAnsi="Arial" w:cs="Arial"/>
              </w:rPr>
              <w:t>Basic technological products and/or processes are tested to establish that they will work.</w:t>
            </w:r>
          </w:p>
        </w:tc>
      </w:tr>
      <w:tr w:rsidR="3062D869" w:rsidRPr="00083F82" w14:paraId="20AB5AE7" w14:textId="77777777" w:rsidTr="3062D869">
        <w:trPr>
          <w:trHeight w:val="30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4CB92D" w14:textId="5D342373" w:rsidR="3062D869" w:rsidRPr="00083F82" w:rsidRDefault="3062D869">
            <w:pPr>
              <w:rPr>
                <w:rFonts w:ascii="Arial" w:eastAsia="Calibri" w:hAnsi="Arial" w:cs="Arial"/>
              </w:rPr>
            </w:pPr>
            <w:r w:rsidRPr="00083F82">
              <w:rPr>
                <w:rFonts w:ascii="Arial" w:eastAsia="Calibri" w:hAnsi="Arial" w:cs="Arial"/>
              </w:rPr>
              <w:t>TRL 5—Product and/or process validation in relevant environment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51486" w14:textId="77C315F4" w:rsidR="3062D869" w:rsidRPr="00083F82" w:rsidRDefault="3062D869">
            <w:pPr>
              <w:rPr>
                <w:rFonts w:ascii="Arial" w:eastAsia="Calibri" w:hAnsi="Arial" w:cs="Arial"/>
              </w:rPr>
            </w:pPr>
            <w:r w:rsidRPr="00083F82">
              <w:rPr>
                <w:rFonts w:ascii="Arial" w:eastAsia="Calibri" w:hAnsi="Arial" w:cs="Arial"/>
              </w:rPr>
              <w:t>Reliability of product and/or process innovation increases significantly. The basic products and/or processes are integrated so they can be tested in a simulated environment.</w:t>
            </w:r>
          </w:p>
        </w:tc>
      </w:tr>
      <w:tr w:rsidR="3062D869" w:rsidRPr="00083F82" w14:paraId="6D2078E8" w14:textId="77777777" w:rsidTr="3062D869">
        <w:trPr>
          <w:trHeight w:val="30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DB49D4" w14:textId="1E1BAEB8" w:rsidR="3062D869" w:rsidRPr="00083F82" w:rsidRDefault="3062D869">
            <w:pPr>
              <w:rPr>
                <w:rFonts w:ascii="Arial" w:eastAsia="Calibri" w:hAnsi="Arial" w:cs="Arial"/>
              </w:rPr>
            </w:pPr>
            <w:r w:rsidRPr="00083F82">
              <w:rPr>
                <w:rFonts w:ascii="Arial" w:eastAsia="Calibri" w:hAnsi="Arial" w:cs="Arial"/>
              </w:rPr>
              <w:t>TRL 6—Product and/or process prototype demonstration in a relevant environment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51776" w14:textId="55627C27" w:rsidR="3062D869" w:rsidRPr="00083F82" w:rsidRDefault="3062D869">
            <w:pPr>
              <w:rPr>
                <w:rFonts w:ascii="Arial" w:eastAsia="Calibri" w:hAnsi="Arial" w:cs="Arial"/>
              </w:rPr>
            </w:pPr>
            <w:r w:rsidRPr="00083F82">
              <w:rPr>
                <w:rFonts w:ascii="Arial" w:eastAsia="Calibri" w:hAnsi="Arial" w:cs="Arial"/>
              </w:rPr>
              <w:t>Prototypes are tested in a relevant environment. Represents a major step up in a technology's demonstrated readiness. Examples include testing a prototype in a simulated operational environment.</w:t>
            </w:r>
          </w:p>
        </w:tc>
      </w:tr>
      <w:tr w:rsidR="3062D869" w:rsidRPr="00083F82" w14:paraId="60EBB85A" w14:textId="77777777" w:rsidTr="3062D869">
        <w:trPr>
          <w:trHeight w:val="30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B6DC0" w14:textId="61532F8E" w:rsidR="3062D869" w:rsidRPr="00083F82" w:rsidRDefault="3062D869">
            <w:pPr>
              <w:rPr>
                <w:rFonts w:ascii="Arial" w:eastAsia="Calibri" w:hAnsi="Arial" w:cs="Arial"/>
              </w:rPr>
            </w:pPr>
            <w:r w:rsidRPr="00083F82">
              <w:rPr>
                <w:rFonts w:ascii="Arial" w:eastAsia="Calibri" w:hAnsi="Arial" w:cs="Arial"/>
              </w:rPr>
              <w:t>TRL 7—Product and/or process prototype demonstration in an operational environment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71363" w14:textId="61B6117D" w:rsidR="3062D869" w:rsidRPr="00083F82" w:rsidRDefault="3062D869">
            <w:pPr>
              <w:rPr>
                <w:rFonts w:ascii="Arial" w:eastAsia="Calibri" w:hAnsi="Arial" w:cs="Arial"/>
              </w:rPr>
            </w:pPr>
            <w:r w:rsidRPr="00083F82">
              <w:rPr>
                <w:rFonts w:ascii="Arial" w:eastAsia="Calibri" w:hAnsi="Arial" w:cs="Arial"/>
              </w:rPr>
              <w:t>Prototype near or at planned operational system and requires demonstration of an actual prototype in an operational environment (e.g. in a vehicle).</w:t>
            </w:r>
          </w:p>
        </w:tc>
      </w:tr>
      <w:tr w:rsidR="3062D869" w:rsidRPr="00083F82" w14:paraId="1D6C1C22" w14:textId="77777777" w:rsidTr="3062D869">
        <w:trPr>
          <w:trHeight w:val="30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1C965" w14:textId="3AD7E133" w:rsidR="3062D869" w:rsidRPr="00083F82" w:rsidRDefault="3062D869">
            <w:pPr>
              <w:rPr>
                <w:rFonts w:ascii="Arial" w:eastAsia="Calibri" w:hAnsi="Arial" w:cs="Arial"/>
              </w:rPr>
            </w:pPr>
            <w:r w:rsidRPr="00083F82">
              <w:rPr>
                <w:rFonts w:ascii="Arial" w:eastAsia="Calibri" w:hAnsi="Arial" w:cs="Arial"/>
              </w:rPr>
              <w:t>TRL 8—Actual product and/or process completed and qualified through test and demonstration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232592" w14:textId="2CD950E7" w:rsidR="3062D869" w:rsidRPr="00083F82" w:rsidRDefault="3062D869">
            <w:pPr>
              <w:rPr>
                <w:rFonts w:ascii="Arial" w:eastAsia="Calibri" w:hAnsi="Arial" w:cs="Arial"/>
              </w:rPr>
            </w:pPr>
            <w:r w:rsidRPr="00083F82">
              <w:rPr>
                <w:rFonts w:ascii="Arial" w:eastAsia="Calibri" w:hAnsi="Arial" w:cs="Arial"/>
              </w:rPr>
              <w:t>Innovation has been proven to work in its final form and under expected conditions. In almost all cases, this TRL represents the end of true system development.</w:t>
            </w:r>
          </w:p>
        </w:tc>
      </w:tr>
      <w:tr w:rsidR="3062D869" w:rsidRPr="00083F82" w14:paraId="71431019" w14:textId="77777777" w:rsidTr="3062D869">
        <w:trPr>
          <w:trHeight w:val="30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43D5BE" w14:textId="556E9C39" w:rsidR="3062D869" w:rsidRPr="00083F82" w:rsidRDefault="3062D869">
            <w:pPr>
              <w:rPr>
                <w:rFonts w:ascii="Arial" w:eastAsia="Calibri" w:hAnsi="Arial" w:cs="Arial"/>
              </w:rPr>
            </w:pPr>
            <w:r w:rsidRPr="00083F82">
              <w:rPr>
                <w:rFonts w:ascii="Arial" w:eastAsia="Calibri" w:hAnsi="Arial" w:cs="Arial"/>
              </w:rPr>
              <w:t>TRL 9—Actual product and/or process proven successful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BEFD1" w14:textId="1541806B" w:rsidR="3062D869" w:rsidRPr="00083F82" w:rsidRDefault="3062D869">
            <w:pPr>
              <w:rPr>
                <w:rFonts w:ascii="Arial" w:eastAsia="Calibri" w:hAnsi="Arial" w:cs="Arial"/>
              </w:rPr>
            </w:pPr>
            <w:r w:rsidRPr="00083F82">
              <w:rPr>
                <w:rFonts w:ascii="Arial" w:eastAsia="Calibri" w:hAnsi="Arial" w:cs="Arial"/>
              </w:rPr>
              <w:t>Actual application of the product and/or process innovation in its final form or function.</w:t>
            </w:r>
          </w:p>
        </w:tc>
      </w:tr>
    </w:tbl>
    <w:p w14:paraId="1427E270" w14:textId="4C4EE743" w:rsidR="004301BB" w:rsidRDefault="004301BB" w:rsidP="002F4EE3">
      <w:pPr>
        <w:rPr>
          <w:lang w:val="en-US"/>
        </w:rPr>
      </w:pPr>
    </w:p>
    <w:sectPr w:rsidR="004301BB" w:rsidSect="00D902CA">
      <w:headerReference w:type="defaul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E9CEE" w14:textId="77777777" w:rsidR="00A02D63" w:rsidRDefault="00A02D63" w:rsidP="00E14068">
      <w:pPr>
        <w:spacing w:after="0" w:line="240" w:lineRule="auto"/>
      </w:pPr>
      <w:r>
        <w:separator/>
      </w:r>
    </w:p>
  </w:endnote>
  <w:endnote w:type="continuationSeparator" w:id="0">
    <w:p w14:paraId="114DB1BA" w14:textId="77777777" w:rsidR="00A02D63" w:rsidRDefault="00A02D63" w:rsidP="00E1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983D" w14:textId="77777777" w:rsidR="00A02D63" w:rsidRDefault="00A02D63" w:rsidP="00E14068">
      <w:pPr>
        <w:spacing w:after="0" w:line="240" w:lineRule="auto"/>
      </w:pPr>
      <w:r>
        <w:separator/>
      </w:r>
    </w:p>
  </w:footnote>
  <w:footnote w:type="continuationSeparator" w:id="0">
    <w:p w14:paraId="2D8A2C80" w14:textId="77777777" w:rsidR="00A02D63" w:rsidRDefault="00A02D63" w:rsidP="00E14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D52D" w14:textId="5602F29B" w:rsidR="00E14068" w:rsidRPr="009E443B" w:rsidRDefault="00E14068">
    <w:pPr>
      <w:pStyle w:val="Header"/>
      <w:rPr>
        <w:u w:val="single"/>
      </w:rPr>
    </w:pPr>
    <w:r w:rsidRPr="009E443B">
      <w:rPr>
        <w:noProof/>
        <w:u w:val="single"/>
        <w:lang w:eastAsia="en-CA"/>
      </w:rPr>
      <w:drawing>
        <wp:inline distT="0" distB="0" distL="0" distR="0" wp14:anchorId="3E6CDC8F" wp14:editId="71562F71">
          <wp:extent cx="2470150" cy="705275"/>
          <wp:effectExtent l="0" t="0" r="6350" b="0"/>
          <wp:docPr id="988487911" name="Picture 988487911" descr="A logo with blue and green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528423" name="Picture 1" descr="A logo with blue and green circle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61" t="36084" r="13034" b="35020"/>
                  <a:stretch/>
                </pic:blipFill>
                <pic:spPr bwMode="auto">
                  <a:xfrm>
                    <a:off x="0" y="0"/>
                    <a:ext cx="2483590" cy="7091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E443B" w:rsidRPr="009E443B">
      <w:rPr>
        <w:u w:val="single"/>
      </w:rPr>
      <w:tab/>
    </w:r>
    <w:r w:rsidR="009E443B" w:rsidRPr="009E443B">
      <w:rPr>
        <w:u w:val="single"/>
      </w:rPr>
      <w:tab/>
    </w:r>
  </w:p>
  <w:p w14:paraId="28284566" w14:textId="6AE91BBE" w:rsidR="00E14068" w:rsidRDefault="00E14068">
    <w:pPr>
      <w:pStyle w:val="Head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LTI06YT" int2:invalidationBookmarkName="" int2:hashCode="FwYhrAhCbAivjx" int2:id="TveuOu3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D74FA"/>
    <w:multiLevelType w:val="hybridMultilevel"/>
    <w:tmpl w:val="BD0C2F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329DD"/>
    <w:multiLevelType w:val="hybridMultilevel"/>
    <w:tmpl w:val="F56E01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9C0AE2">
      <w:start w:val="3"/>
      <w:numFmt w:val="lowerRoman"/>
      <w:lvlText w:val="%3.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16437F"/>
    <w:multiLevelType w:val="hybridMultilevel"/>
    <w:tmpl w:val="F322F25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09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558667"/>
    <w:multiLevelType w:val="hybridMultilevel"/>
    <w:tmpl w:val="29B8CAE4"/>
    <w:lvl w:ilvl="0" w:tplc="45CAC498">
      <w:start w:val="1"/>
      <w:numFmt w:val="decimal"/>
      <w:lvlText w:val="%1."/>
      <w:lvlJc w:val="left"/>
      <w:pPr>
        <w:ind w:left="720" w:hanging="360"/>
      </w:pPr>
    </w:lvl>
    <w:lvl w:ilvl="1" w:tplc="7898BE72">
      <w:start w:val="1"/>
      <w:numFmt w:val="decimal"/>
      <w:lvlText w:val="%2."/>
      <w:lvlJc w:val="left"/>
      <w:pPr>
        <w:ind w:left="1440" w:hanging="360"/>
      </w:pPr>
    </w:lvl>
    <w:lvl w:ilvl="2" w:tplc="AC387ACA">
      <w:start w:val="1"/>
      <w:numFmt w:val="lowerRoman"/>
      <w:lvlText w:val="%3."/>
      <w:lvlJc w:val="right"/>
      <w:pPr>
        <w:ind w:left="2160" w:hanging="180"/>
      </w:pPr>
    </w:lvl>
    <w:lvl w:ilvl="3" w:tplc="1E086194">
      <w:start w:val="1"/>
      <w:numFmt w:val="decimal"/>
      <w:lvlText w:val="%4."/>
      <w:lvlJc w:val="left"/>
      <w:pPr>
        <w:ind w:left="2880" w:hanging="360"/>
      </w:pPr>
    </w:lvl>
    <w:lvl w:ilvl="4" w:tplc="C21C32C2">
      <w:start w:val="1"/>
      <w:numFmt w:val="lowerLetter"/>
      <w:lvlText w:val="%5."/>
      <w:lvlJc w:val="left"/>
      <w:pPr>
        <w:ind w:left="3600" w:hanging="360"/>
      </w:pPr>
    </w:lvl>
    <w:lvl w:ilvl="5" w:tplc="A7AE34B8">
      <w:start w:val="1"/>
      <w:numFmt w:val="lowerRoman"/>
      <w:lvlText w:val="%6."/>
      <w:lvlJc w:val="right"/>
      <w:pPr>
        <w:ind w:left="4320" w:hanging="180"/>
      </w:pPr>
    </w:lvl>
    <w:lvl w:ilvl="6" w:tplc="C5C8254E">
      <w:start w:val="1"/>
      <w:numFmt w:val="decimal"/>
      <w:lvlText w:val="%7."/>
      <w:lvlJc w:val="left"/>
      <w:pPr>
        <w:ind w:left="5040" w:hanging="360"/>
      </w:pPr>
    </w:lvl>
    <w:lvl w:ilvl="7" w:tplc="9BAA35C8">
      <w:start w:val="1"/>
      <w:numFmt w:val="lowerLetter"/>
      <w:lvlText w:val="%8."/>
      <w:lvlJc w:val="left"/>
      <w:pPr>
        <w:ind w:left="5760" w:hanging="360"/>
      </w:pPr>
    </w:lvl>
    <w:lvl w:ilvl="8" w:tplc="96E66D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F6FD3"/>
    <w:multiLevelType w:val="hybridMultilevel"/>
    <w:tmpl w:val="01EE63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09001B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6040F1"/>
    <w:multiLevelType w:val="hybridMultilevel"/>
    <w:tmpl w:val="4EAEC7B2"/>
    <w:lvl w:ilvl="0" w:tplc="6AC81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CA8C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109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4D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84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CF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046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203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44F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91391521">
    <w:abstractNumId w:val="3"/>
  </w:num>
  <w:num w:numId="2" w16cid:durableId="1367829667">
    <w:abstractNumId w:val="5"/>
  </w:num>
  <w:num w:numId="3" w16cid:durableId="311761032">
    <w:abstractNumId w:val="2"/>
  </w:num>
  <w:num w:numId="4" w16cid:durableId="812719512">
    <w:abstractNumId w:val="1"/>
  </w:num>
  <w:num w:numId="5" w16cid:durableId="916356571">
    <w:abstractNumId w:val="4"/>
  </w:num>
  <w:num w:numId="6" w16cid:durableId="173585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73"/>
    <w:rsid w:val="0003439F"/>
    <w:rsid w:val="00045319"/>
    <w:rsid w:val="00052401"/>
    <w:rsid w:val="000807C4"/>
    <w:rsid w:val="00081C48"/>
    <w:rsid w:val="00083F82"/>
    <w:rsid w:val="00097F54"/>
    <w:rsid w:val="000B55A1"/>
    <w:rsid w:val="000C7C9A"/>
    <w:rsid w:val="000E2E8C"/>
    <w:rsid w:val="000E6135"/>
    <w:rsid w:val="00117A50"/>
    <w:rsid w:val="00152EFF"/>
    <w:rsid w:val="00165749"/>
    <w:rsid w:val="001806B9"/>
    <w:rsid w:val="00184BE8"/>
    <w:rsid w:val="001A7610"/>
    <w:rsid w:val="001C097A"/>
    <w:rsid w:val="001D2311"/>
    <w:rsid w:val="001D5F8A"/>
    <w:rsid w:val="001E504D"/>
    <w:rsid w:val="0024752D"/>
    <w:rsid w:val="002620B5"/>
    <w:rsid w:val="002659A5"/>
    <w:rsid w:val="00285E5F"/>
    <w:rsid w:val="00292E8F"/>
    <w:rsid w:val="002C23B3"/>
    <w:rsid w:val="002E0BDB"/>
    <w:rsid w:val="002F4EE3"/>
    <w:rsid w:val="00301BD9"/>
    <w:rsid w:val="00317CFC"/>
    <w:rsid w:val="00323850"/>
    <w:rsid w:val="0034385A"/>
    <w:rsid w:val="003610D6"/>
    <w:rsid w:val="00364A82"/>
    <w:rsid w:val="00367677"/>
    <w:rsid w:val="003778E2"/>
    <w:rsid w:val="003914A3"/>
    <w:rsid w:val="003B4501"/>
    <w:rsid w:val="003D663A"/>
    <w:rsid w:val="003F62A3"/>
    <w:rsid w:val="00413BD5"/>
    <w:rsid w:val="00417931"/>
    <w:rsid w:val="004301BB"/>
    <w:rsid w:val="00434B8F"/>
    <w:rsid w:val="00441B91"/>
    <w:rsid w:val="00447B6C"/>
    <w:rsid w:val="004657F1"/>
    <w:rsid w:val="00466BA8"/>
    <w:rsid w:val="004A6CA2"/>
    <w:rsid w:val="004E7157"/>
    <w:rsid w:val="004E725F"/>
    <w:rsid w:val="005060FD"/>
    <w:rsid w:val="0052508C"/>
    <w:rsid w:val="0059550A"/>
    <w:rsid w:val="005C2F7A"/>
    <w:rsid w:val="005D4F5C"/>
    <w:rsid w:val="00600BD2"/>
    <w:rsid w:val="00620E3E"/>
    <w:rsid w:val="00642986"/>
    <w:rsid w:val="00643819"/>
    <w:rsid w:val="00666EE8"/>
    <w:rsid w:val="0067094E"/>
    <w:rsid w:val="0067377D"/>
    <w:rsid w:val="00690447"/>
    <w:rsid w:val="006921F4"/>
    <w:rsid w:val="006C3B07"/>
    <w:rsid w:val="006D5572"/>
    <w:rsid w:val="00712648"/>
    <w:rsid w:val="0074107A"/>
    <w:rsid w:val="007458DB"/>
    <w:rsid w:val="007913CF"/>
    <w:rsid w:val="007A2ECE"/>
    <w:rsid w:val="008062D5"/>
    <w:rsid w:val="00826931"/>
    <w:rsid w:val="00875DC0"/>
    <w:rsid w:val="0089557E"/>
    <w:rsid w:val="008D001A"/>
    <w:rsid w:val="008D5C49"/>
    <w:rsid w:val="008F7645"/>
    <w:rsid w:val="008F7E93"/>
    <w:rsid w:val="00916A93"/>
    <w:rsid w:val="009302B5"/>
    <w:rsid w:val="00930F9C"/>
    <w:rsid w:val="00940DFC"/>
    <w:rsid w:val="009442C2"/>
    <w:rsid w:val="00963552"/>
    <w:rsid w:val="0099239E"/>
    <w:rsid w:val="009C5EDE"/>
    <w:rsid w:val="009D4B82"/>
    <w:rsid w:val="009E25B0"/>
    <w:rsid w:val="009E443B"/>
    <w:rsid w:val="009F43AC"/>
    <w:rsid w:val="00A02D63"/>
    <w:rsid w:val="00A12D7B"/>
    <w:rsid w:val="00A133EC"/>
    <w:rsid w:val="00A20002"/>
    <w:rsid w:val="00A270CD"/>
    <w:rsid w:val="00A3532A"/>
    <w:rsid w:val="00A51B4B"/>
    <w:rsid w:val="00A716CD"/>
    <w:rsid w:val="00A7398E"/>
    <w:rsid w:val="00A809F8"/>
    <w:rsid w:val="00A80EBE"/>
    <w:rsid w:val="00AD00C3"/>
    <w:rsid w:val="00AE217F"/>
    <w:rsid w:val="00AE4F73"/>
    <w:rsid w:val="00B32E7D"/>
    <w:rsid w:val="00B60CA5"/>
    <w:rsid w:val="00B939B7"/>
    <w:rsid w:val="00B97E41"/>
    <w:rsid w:val="00BA7D47"/>
    <w:rsid w:val="00BC5249"/>
    <w:rsid w:val="00BC6804"/>
    <w:rsid w:val="00BD1C41"/>
    <w:rsid w:val="00BF1807"/>
    <w:rsid w:val="00C228ED"/>
    <w:rsid w:val="00C54BFA"/>
    <w:rsid w:val="00C72CA3"/>
    <w:rsid w:val="00C94D4B"/>
    <w:rsid w:val="00CC122D"/>
    <w:rsid w:val="00CD21ED"/>
    <w:rsid w:val="00D01953"/>
    <w:rsid w:val="00D1740C"/>
    <w:rsid w:val="00D26F90"/>
    <w:rsid w:val="00D61D95"/>
    <w:rsid w:val="00D67CFD"/>
    <w:rsid w:val="00D902CA"/>
    <w:rsid w:val="00DB3181"/>
    <w:rsid w:val="00DB34A1"/>
    <w:rsid w:val="00DD0DD3"/>
    <w:rsid w:val="00E14068"/>
    <w:rsid w:val="00E24F27"/>
    <w:rsid w:val="00E43E73"/>
    <w:rsid w:val="00E54259"/>
    <w:rsid w:val="00E543E4"/>
    <w:rsid w:val="00EC0D64"/>
    <w:rsid w:val="00EC603E"/>
    <w:rsid w:val="00ED45E4"/>
    <w:rsid w:val="00ED5688"/>
    <w:rsid w:val="00EE7957"/>
    <w:rsid w:val="00F339EF"/>
    <w:rsid w:val="00F848E8"/>
    <w:rsid w:val="00F87401"/>
    <w:rsid w:val="00FC4992"/>
    <w:rsid w:val="00FD22EA"/>
    <w:rsid w:val="00FD30C1"/>
    <w:rsid w:val="00FE30EC"/>
    <w:rsid w:val="00FE4A8B"/>
    <w:rsid w:val="00FE5E07"/>
    <w:rsid w:val="010A0730"/>
    <w:rsid w:val="07687BB8"/>
    <w:rsid w:val="0C4514FA"/>
    <w:rsid w:val="11E67395"/>
    <w:rsid w:val="13F8D11F"/>
    <w:rsid w:val="13FF66F0"/>
    <w:rsid w:val="17238826"/>
    <w:rsid w:val="184D09F9"/>
    <w:rsid w:val="1A614F0B"/>
    <w:rsid w:val="1ABE3F67"/>
    <w:rsid w:val="1B3CE9FF"/>
    <w:rsid w:val="1BCE5EB2"/>
    <w:rsid w:val="1C175ADB"/>
    <w:rsid w:val="1D98EFCD"/>
    <w:rsid w:val="20669648"/>
    <w:rsid w:val="20AD4643"/>
    <w:rsid w:val="23C3E174"/>
    <w:rsid w:val="278F5C26"/>
    <w:rsid w:val="3062D869"/>
    <w:rsid w:val="335CD74D"/>
    <w:rsid w:val="34FAEE13"/>
    <w:rsid w:val="36825B4D"/>
    <w:rsid w:val="37199386"/>
    <w:rsid w:val="3A383A8B"/>
    <w:rsid w:val="3AB242EF"/>
    <w:rsid w:val="425907BE"/>
    <w:rsid w:val="483CE98D"/>
    <w:rsid w:val="49D80D5F"/>
    <w:rsid w:val="49EA7224"/>
    <w:rsid w:val="4B66F405"/>
    <w:rsid w:val="505881A8"/>
    <w:rsid w:val="5916BDE8"/>
    <w:rsid w:val="59A824C7"/>
    <w:rsid w:val="5E768ED7"/>
    <w:rsid w:val="6285EAF1"/>
    <w:rsid w:val="67D6B1C6"/>
    <w:rsid w:val="69E69508"/>
    <w:rsid w:val="6BAD653E"/>
    <w:rsid w:val="6C68B154"/>
    <w:rsid w:val="76C1BE11"/>
    <w:rsid w:val="78B88229"/>
    <w:rsid w:val="7DF0A97D"/>
    <w:rsid w:val="7EFA64F0"/>
    <w:rsid w:val="7F0C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404A1"/>
  <w15:chartTrackingRefBased/>
  <w15:docId w15:val="{9A28C994-1325-4976-AB2C-5FDE0F00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61D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65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7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00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068"/>
  </w:style>
  <w:style w:type="paragraph" w:styleId="Footer">
    <w:name w:val="footer"/>
    <w:basedOn w:val="Normal"/>
    <w:link w:val="FooterChar"/>
    <w:uiPriority w:val="99"/>
    <w:unhideWhenUsed/>
    <w:rsid w:val="00E14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2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61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8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5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1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7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1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59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0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2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2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4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1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8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3991B5932D441B1EB5EA25C142758" ma:contentTypeVersion="3" ma:contentTypeDescription="Create a new document." ma:contentTypeScope="" ma:versionID="332c988d0619e04ac35d3113e4f22a01">
  <xsd:schema xmlns:xsd="http://www.w3.org/2001/XMLSchema" xmlns:xs="http://www.w3.org/2001/XMLSchema" xmlns:p="http://schemas.microsoft.com/office/2006/metadata/properties" xmlns:ns2="a36c19d9-f45a-4662-97c8-cec8f899bf71" targetNamespace="http://schemas.microsoft.com/office/2006/metadata/properties" ma:root="true" ma:fieldsID="4175b4cbaa8393b4d8c27cbbda82be5d" ns2:_="">
    <xsd:import namespace="a36c19d9-f45a-4662-97c8-cec8f899b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c19d9-f45a-4662-97c8-cec8f899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C59836-E3E1-4833-8894-5D13180DF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0D1B3-E695-4D84-8085-D1DF6ADB5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c19d9-f45a-4662-97c8-cec8f899b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7B864-A04C-4A9F-AB46-5F55519B48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1691</Words>
  <Characters>9642</Characters>
  <Application>Microsoft Office Word</Application>
  <DocSecurity>0</DocSecurity>
  <Lines>80</Lines>
  <Paragraphs>22</Paragraphs>
  <ScaleCrop>false</ScaleCrop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Roberts</dc:creator>
  <cp:keywords/>
  <dc:description/>
  <cp:lastModifiedBy>Holly Bilton</cp:lastModifiedBy>
  <cp:revision>7</cp:revision>
  <dcterms:created xsi:type="dcterms:W3CDTF">2025-06-22T18:44:00Z</dcterms:created>
  <dcterms:modified xsi:type="dcterms:W3CDTF">2025-06-22T18:49:00Z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0x0101004273991B5932D441B1EB5EA25C142758</vt:lpwstr>
  </property>
</Properties>
</file>