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66C2" w14:textId="7D425AD1" w:rsidR="0046426F" w:rsidRDefault="0046426F" w:rsidP="00602B24"/>
    <w:p w14:paraId="411D0794" w14:textId="47B7C5BD" w:rsidR="0046426F" w:rsidRDefault="0046426F" w:rsidP="00602B24"/>
    <w:p w14:paraId="11B89036" w14:textId="33A4448B" w:rsidR="0046426F" w:rsidRDefault="005511E6" w:rsidP="00602B24">
      <w:r>
        <w:rPr>
          <w:noProof/>
          <w:lang w:val="en-CA" w:eastAsia="en-CA"/>
        </w:rPr>
        <w:drawing>
          <wp:anchor distT="0" distB="0" distL="114300" distR="114300" simplePos="0" relativeHeight="251655168" behindDoc="0" locked="0" layoutInCell="1" allowOverlap="1" wp14:anchorId="3B2D509E" wp14:editId="7EDA45AA">
            <wp:simplePos x="0" y="0"/>
            <wp:positionH relativeFrom="margin">
              <wp:posOffset>-398780</wp:posOffset>
            </wp:positionH>
            <wp:positionV relativeFrom="margin">
              <wp:posOffset>889000</wp:posOffset>
            </wp:positionV>
            <wp:extent cx="6703060" cy="1955800"/>
            <wp:effectExtent l="0" t="0" r="0" b="0"/>
            <wp:wrapSquare wrapText="bothSides"/>
            <wp:docPr id="486883746" name="Picture 2" descr="A logo with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83746" name="Picture 2" descr="A logo with blue and green circles&#10;&#10;Description automatically generated"/>
                    <pic:cNvPicPr/>
                  </pic:nvPicPr>
                  <pic:blipFill rotWithShape="1">
                    <a:blip r:embed="rId11" cstate="print">
                      <a:extLst>
                        <a:ext uri="{28A0092B-C50C-407E-A947-70E740481C1C}">
                          <a14:useLocalDpi xmlns:a14="http://schemas.microsoft.com/office/drawing/2010/main" val="0"/>
                        </a:ext>
                      </a:extLst>
                    </a:blip>
                    <a:srcRect l="7906" t="35255" r="11539" b="34328"/>
                    <a:stretch/>
                  </pic:blipFill>
                  <pic:spPr bwMode="auto">
                    <a:xfrm>
                      <a:off x="0" y="0"/>
                      <a:ext cx="6703060" cy="1955800"/>
                    </a:xfrm>
                    <a:prstGeom prst="rect">
                      <a:avLst/>
                    </a:prstGeom>
                    <a:ln>
                      <a:noFill/>
                    </a:ln>
                    <a:extLst>
                      <a:ext uri="{53640926-AAD7-44D8-BBD7-CCE9431645EC}">
                        <a14:shadowObscured xmlns:a14="http://schemas.microsoft.com/office/drawing/2010/main"/>
                      </a:ext>
                    </a:extLst>
                  </pic:spPr>
                </pic:pic>
              </a:graphicData>
            </a:graphic>
          </wp:anchor>
        </w:drawing>
      </w:r>
    </w:p>
    <w:p w14:paraId="70811A1E" w14:textId="77777777" w:rsidR="0046426F" w:rsidRDefault="0046426F" w:rsidP="00602B24"/>
    <w:p w14:paraId="23D3DB13" w14:textId="08A817C3" w:rsidR="0046426F" w:rsidRDefault="0046426F" w:rsidP="005511E6">
      <w:pPr>
        <w:jc w:val="center"/>
      </w:pPr>
    </w:p>
    <w:p w14:paraId="11882A38" w14:textId="77777777" w:rsidR="0046426F" w:rsidRDefault="0046426F" w:rsidP="00602B24"/>
    <w:p w14:paraId="2FC8504E" w14:textId="77777777" w:rsidR="0046426F" w:rsidRDefault="0046426F" w:rsidP="00602B24"/>
    <w:p w14:paraId="32BD8F63" w14:textId="77777777" w:rsidR="0046426F" w:rsidRDefault="0046426F" w:rsidP="00602B24"/>
    <w:p w14:paraId="34DFBD91" w14:textId="06D43010" w:rsidR="005F56EF" w:rsidRDefault="00121E5C" w:rsidP="00E52B08">
      <w:pPr>
        <w:jc w:val="center"/>
        <w:rPr>
          <w:b/>
        </w:rPr>
      </w:pPr>
      <w:r>
        <w:rPr>
          <w:b/>
        </w:rPr>
        <w:t>SUMMER</w:t>
      </w:r>
      <w:r w:rsidR="005F56EF">
        <w:rPr>
          <w:b/>
        </w:rPr>
        <w:t xml:space="preserve"> 202</w:t>
      </w:r>
      <w:r w:rsidR="00D81C96">
        <w:rPr>
          <w:b/>
        </w:rPr>
        <w:t>5</w:t>
      </w:r>
      <w:r w:rsidR="005F56EF">
        <w:rPr>
          <w:b/>
        </w:rPr>
        <w:t xml:space="preserve"> CALL FOR PROPOSALS </w:t>
      </w:r>
    </w:p>
    <w:p w14:paraId="2D3294A5" w14:textId="05BCBE5E" w:rsidR="0046426F" w:rsidRPr="00790048" w:rsidRDefault="009B39D1" w:rsidP="00E52B08">
      <w:pPr>
        <w:jc w:val="center"/>
        <w:rPr>
          <w:b/>
        </w:rPr>
      </w:pPr>
      <w:r>
        <w:rPr>
          <w:b/>
        </w:rPr>
        <w:t>GUIDELINE FOR APPLICANTS</w:t>
      </w:r>
    </w:p>
    <w:p w14:paraId="087D42F4" w14:textId="77777777" w:rsidR="0046426F" w:rsidRDefault="0046426F" w:rsidP="00E52B08">
      <w:pPr>
        <w:jc w:val="center"/>
      </w:pPr>
    </w:p>
    <w:p w14:paraId="487E4948" w14:textId="77777777" w:rsidR="0046426F" w:rsidRDefault="0046426F" w:rsidP="00E52B08">
      <w:pPr>
        <w:jc w:val="center"/>
      </w:pPr>
    </w:p>
    <w:p w14:paraId="2FCE234D" w14:textId="77777777" w:rsidR="0046426F" w:rsidRDefault="0046426F" w:rsidP="00E52B08">
      <w:pPr>
        <w:jc w:val="center"/>
      </w:pPr>
    </w:p>
    <w:p w14:paraId="122D1A24" w14:textId="77777777" w:rsidR="0046426F" w:rsidRDefault="0046426F" w:rsidP="00E52B08">
      <w:pPr>
        <w:jc w:val="center"/>
      </w:pPr>
    </w:p>
    <w:p w14:paraId="67509065" w14:textId="1D11346D" w:rsidR="0046426F" w:rsidRPr="00E70FFF" w:rsidRDefault="009D01B0" w:rsidP="00E52B08">
      <w:pPr>
        <w:jc w:val="center"/>
      </w:pPr>
      <w:r>
        <w:t>Publi</w:t>
      </w:r>
      <w:r w:rsidR="005724AD">
        <w:t>cation Date:</w:t>
      </w:r>
      <w:r w:rsidR="00790048" w:rsidRPr="00E70FFF">
        <w:t xml:space="preserve"> </w:t>
      </w:r>
      <w:r w:rsidR="004F5EB8">
        <w:t>2</w:t>
      </w:r>
      <w:r w:rsidR="00D81C96">
        <w:t>6</w:t>
      </w:r>
      <w:r w:rsidR="004F5EB8">
        <w:t xml:space="preserve"> June</w:t>
      </w:r>
      <w:r w:rsidR="00790048" w:rsidRPr="00E70FFF">
        <w:t xml:space="preserve"> 202</w:t>
      </w:r>
      <w:r w:rsidR="00D81C96">
        <w:t>5</w:t>
      </w:r>
    </w:p>
    <w:p w14:paraId="18C0712C" w14:textId="77777777" w:rsidR="0046426F" w:rsidRDefault="0046426F" w:rsidP="00602B24">
      <w:r>
        <w:br w:type="page"/>
      </w:r>
    </w:p>
    <w:p w14:paraId="29C26FD7" w14:textId="77777777" w:rsidR="0046426F" w:rsidRDefault="0046426F" w:rsidP="00602B24"/>
    <w:sdt>
      <w:sdtPr>
        <w:rPr>
          <w:rFonts w:eastAsiaTheme="minorHAnsi"/>
          <w:b w:val="0"/>
          <w:color w:val="auto"/>
          <w:sz w:val="22"/>
          <w:szCs w:val="22"/>
        </w:rPr>
        <w:id w:val="-1862742179"/>
        <w:docPartObj>
          <w:docPartGallery w:val="Table of Contents"/>
          <w:docPartUnique/>
        </w:docPartObj>
      </w:sdtPr>
      <w:sdtEndPr>
        <w:rPr>
          <w:noProof/>
        </w:rPr>
      </w:sdtEndPr>
      <w:sdtContent>
        <w:p w14:paraId="23495031" w14:textId="77777777" w:rsidR="0046426F" w:rsidRDefault="0046426F" w:rsidP="00602B24">
          <w:pPr>
            <w:pStyle w:val="TOCHeading"/>
          </w:pPr>
          <w:r>
            <w:t>Contents</w:t>
          </w:r>
        </w:p>
        <w:p w14:paraId="727B4BD0" w14:textId="4A55E2E2" w:rsidR="007C2DA2" w:rsidRDefault="0046426F">
          <w:pPr>
            <w:pStyle w:val="TOC1"/>
            <w:tabs>
              <w:tab w:val="right" w:leader="dot" w:pos="9350"/>
            </w:tabs>
            <w:rPr>
              <w:rFonts w:asciiTheme="minorHAnsi" w:eastAsiaTheme="minorEastAsia" w:hAnsiTheme="minorHAnsi" w:cstheme="minorBidi"/>
              <w:noProof/>
              <w:kern w:val="2"/>
              <w:lang w:val="en-CA" w:eastAsia="en-CA"/>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53363286" w:history="1">
            <w:r w:rsidR="007C2DA2" w:rsidRPr="008E0E49">
              <w:rPr>
                <w:rStyle w:val="Hyperlink"/>
                <w:noProof/>
              </w:rPr>
              <w:t>Summary</w:t>
            </w:r>
            <w:r w:rsidR="007C2DA2">
              <w:rPr>
                <w:noProof/>
                <w:webHidden/>
              </w:rPr>
              <w:tab/>
            </w:r>
            <w:r w:rsidR="007C2DA2">
              <w:rPr>
                <w:noProof/>
                <w:webHidden/>
              </w:rPr>
              <w:fldChar w:fldCharType="begin"/>
            </w:r>
            <w:r w:rsidR="007C2DA2">
              <w:rPr>
                <w:noProof/>
                <w:webHidden/>
              </w:rPr>
              <w:instrText xml:space="preserve"> PAGEREF _Toc153363286 \h </w:instrText>
            </w:r>
            <w:r w:rsidR="007C2DA2">
              <w:rPr>
                <w:noProof/>
                <w:webHidden/>
              </w:rPr>
            </w:r>
            <w:r w:rsidR="007C2DA2">
              <w:rPr>
                <w:noProof/>
                <w:webHidden/>
              </w:rPr>
              <w:fldChar w:fldCharType="separate"/>
            </w:r>
            <w:r w:rsidR="00570B02">
              <w:rPr>
                <w:noProof/>
                <w:webHidden/>
              </w:rPr>
              <w:t>3</w:t>
            </w:r>
            <w:r w:rsidR="007C2DA2">
              <w:rPr>
                <w:noProof/>
                <w:webHidden/>
              </w:rPr>
              <w:fldChar w:fldCharType="end"/>
            </w:r>
          </w:hyperlink>
        </w:p>
        <w:p w14:paraId="7F186A76" w14:textId="0C0FAF33" w:rsidR="007C2DA2" w:rsidRDefault="007C2DA2">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153363287" w:history="1">
            <w:r w:rsidRPr="008E0E49">
              <w:rPr>
                <w:rStyle w:val="Hyperlink"/>
                <w:noProof/>
              </w:rPr>
              <w:t>Glossary of Key Terms</w:t>
            </w:r>
            <w:r>
              <w:rPr>
                <w:noProof/>
                <w:webHidden/>
              </w:rPr>
              <w:tab/>
            </w:r>
            <w:r>
              <w:rPr>
                <w:noProof/>
                <w:webHidden/>
              </w:rPr>
              <w:fldChar w:fldCharType="begin"/>
            </w:r>
            <w:r>
              <w:rPr>
                <w:noProof/>
                <w:webHidden/>
              </w:rPr>
              <w:instrText xml:space="preserve"> PAGEREF _Toc153363287 \h </w:instrText>
            </w:r>
            <w:r>
              <w:rPr>
                <w:noProof/>
                <w:webHidden/>
              </w:rPr>
            </w:r>
            <w:r>
              <w:rPr>
                <w:noProof/>
                <w:webHidden/>
              </w:rPr>
              <w:fldChar w:fldCharType="separate"/>
            </w:r>
            <w:r w:rsidR="00570B02">
              <w:rPr>
                <w:noProof/>
                <w:webHidden/>
              </w:rPr>
              <w:t>3</w:t>
            </w:r>
            <w:r>
              <w:rPr>
                <w:noProof/>
                <w:webHidden/>
              </w:rPr>
              <w:fldChar w:fldCharType="end"/>
            </w:r>
          </w:hyperlink>
        </w:p>
        <w:p w14:paraId="66B93377" w14:textId="122FCC1E" w:rsidR="007C2DA2" w:rsidRDefault="007C2DA2">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153363288" w:history="1">
            <w:r w:rsidRPr="008E0E49">
              <w:rPr>
                <w:rStyle w:val="Hyperlink"/>
                <w:noProof/>
              </w:rPr>
              <w:t>Eligibility and Project Requirements</w:t>
            </w:r>
            <w:r>
              <w:rPr>
                <w:noProof/>
                <w:webHidden/>
              </w:rPr>
              <w:tab/>
            </w:r>
            <w:r>
              <w:rPr>
                <w:noProof/>
                <w:webHidden/>
              </w:rPr>
              <w:fldChar w:fldCharType="begin"/>
            </w:r>
            <w:r>
              <w:rPr>
                <w:noProof/>
                <w:webHidden/>
              </w:rPr>
              <w:instrText xml:space="preserve"> PAGEREF _Toc153363288 \h </w:instrText>
            </w:r>
            <w:r>
              <w:rPr>
                <w:noProof/>
                <w:webHidden/>
              </w:rPr>
            </w:r>
            <w:r>
              <w:rPr>
                <w:noProof/>
                <w:webHidden/>
              </w:rPr>
              <w:fldChar w:fldCharType="separate"/>
            </w:r>
            <w:r w:rsidR="00570B02">
              <w:rPr>
                <w:noProof/>
                <w:webHidden/>
              </w:rPr>
              <w:t>4</w:t>
            </w:r>
            <w:r>
              <w:rPr>
                <w:noProof/>
                <w:webHidden/>
              </w:rPr>
              <w:fldChar w:fldCharType="end"/>
            </w:r>
          </w:hyperlink>
        </w:p>
        <w:p w14:paraId="69F84D25" w14:textId="45C68992" w:rsidR="007C2DA2" w:rsidRDefault="007C2DA2">
          <w:pPr>
            <w:pStyle w:val="TOC2"/>
            <w:rPr>
              <w:rFonts w:asciiTheme="minorHAnsi" w:eastAsiaTheme="minorEastAsia" w:hAnsiTheme="minorHAnsi" w:cstheme="minorBidi"/>
              <w:noProof/>
              <w:kern w:val="2"/>
              <w:lang w:val="en-CA" w:eastAsia="en-CA"/>
              <w14:ligatures w14:val="standardContextual"/>
            </w:rPr>
          </w:pPr>
          <w:hyperlink w:anchor="_Toc153363289" w:history="1">
            <w:r w:rsidRPr="008E0E49">
              <w:rPr>
                <w:rStyle w:val="Hyperlink"/>
                <w:noProof/>
              </w:rPr>
              <w:t>Basic Eligibility Requirements</w:t>
            </w:r>
            <w:r>
              <w:rPr>
                <w:noProof/>
                <w:webHidden/>
              </w:rPr>
              <w:tab/>
            </w:r>
            <w:r>
              <w:rPr>
                <w:noProof/>
                <w:webHidden/>
              </w:rPr>
              <w:fldChar w:fldCharType="begin"/>
            </w:r>
            <w:r>
              <w:rPr>
                <w:noProof/>
                <w:webHidden/>
              </w:rPr>
              <w:instrText xml:space="preserve"> PAGEREF _Toc153363289 \h </w:instrText>
            </w:r>
            <w:r>
              <w:rPr>
                <w:noProof/>
                <w:webHidden/>
              </w:rPr>
            </w:r>
            <w:r>
              <w:rPr>
                <w:noProof/>
                <w:webHidden/>
              </w:rPr>
              <w:fldChar w:fldCharType="separate"/>
            </w:r>
            <w:r w:rsidR="00570B02">
              <w:rPr>
                <w:noProof/>
                <w:webHidden/>
              </w:rPr>
              <w:t>4</w:t>
            </w:r>
            <w:r>
              <w:rPr>
                <w:noProof/>
                <w:webHidden/>
              </w:rPr>
              <w:fldChar w:fldCharType="end"/>
            </w:r>
          </w:hyperlink>
        </w:p>
        <w:p w14:paraId="75B47A60" w14:textId="2F1BA72F" w:rsidR="007C2DA2" w:rsidRDefault="007C2DA2">
          <w:pPr>
            <w:pStyle w:val="TOC2"/>
            <w:rPr>
              <w:rFonts w:asciiTheme="minorHAnsi" w:eastAsiaTheme="minorEastAsia" w:hAnsiTheme="minorHAnsi" w:cstheme="minorBidi"/>
              <w:noProof/>
              <w:kern w:val="2"/>
              <w:lang w:val="en-CA" w:eastAsia="en-CA"/>
              <w14:ligatures w14:val="standardContextual"/>
            </w:rPr>
          </w:pPr>
          <w:hyperlink w:anchor="_Toc153363290" w:history="1">
            <w:r w:rsidRPr="008E0E49">
              <w:rPr>
                <w:rStyle w:val="Hyperlink"/>
                <w:noProof/>
              </w:rPr>
              <w:t>Additional Project Aspects</w:t>
            </w:r>
            <w:r>
              <w:rPr>
                <w:noProof/>
                <w:webHidden/>
              </w:rPr>
              <w:tab/>
            </w:r>
            <w:r>
              <w:rPr>
                <w:noProof/>
                <w:webHidden/>
              </w:rPr>
              <w:fldChar w:fldCharType="begin"/>
            </w:r>
            <w:r>
              <w:rPr>
                <w:noProof/>
                <w:webHidden/>
              </w:rPr>
              <w:instrText xml:space="preserve"> PAGEREF _Toc153363290 \h </w:instrText>
            </w:r>
            <w:r>
              <w:rPr>
                <w:noProof/>
                <w:webHidden/>
              </w:rPr>
            </w:r>
            <w:r>
              <w:rPr>
                <w:noProof/>
                <w:webHidden/>
              </w:rPr>
              <w:fldChar w:fldCharType="separate"/>
            </w:r>
            <w:r w:rsidR="00570B02">
              <w:rPr>
                <w:noProof/>
                <w:webHidden/>
              </w:rPr>
              <w:t>4</w:t>
            </w:r>
            <w:r>
              <w:rPr>
                <w:noProof/>
                <w:webHidden/>
              </w:rPr>
              <w:fldChar w:fldCharType="end"/>
            </w:r>
          </w:hyperlink>
        </w:p>
        <w:p w14:paraId="27C7B155" w14:textId="60D088E4" w:rsidR="007C2DA2" w:rsidRDefault="007C2DA2">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153363291" w:history="1">
            <w:r w:rsidRPr="008E0E49">
              <w:rPr>
                <w:rStyle w:val="Hyperlink"/>
                <w:noProof/>
              </w:rPr>
              <w:t>Funding Mechanism and Eligible Project Costs</w:t>
            </w:r>
            <w:r>
              <w:rPr>
                <w:noProof/>
                <w:webHidden/>
              </w:rPr>
              <w:tab/>
            </w:r>
            <w:r>
              <w:rPr>
                <w:noProof/>
                <w:webHidden/>
              </w:rPr>
              <w:fldChar w:fldCharType="begin"/>
            </w:r>
            <w:r>
              <w:rPr>
                <w:noProof/>
                <w:webHidden/>
              </w:rPr>
              <w:instrText xml:space="preserve"> PAGEREF _Toc153363291 \h </w:instrText>
            </w:r>
            <w:r>
              <w:rPr>
                <w:noProof/>
                <w:webHidden/>
              </w:rPr>
            </w:r>
            <w:r>
              <w:rPr>
                <w:noProof/>
                <w:webHidden/>
              </w:rPr>
              <w:fldChar w:fldCharType="separate"/>
            </w:r>
            <w:r w:rsidR="00570B02">
              <w:rPr>
                <w:noProof/>
                <w:webHidden/>
              </w:rPr>
              <w:t>5</w:t>
            </w:r>
            <w:r>
              <w:rPr>
                <w:noProof/>
                <w:webHidden/>
              </w:rPr>
              <w:fldChar w:fldCharType="end"/>
            </w:r>
          </w:hyperlink>
        </w:p>
        <w:p w14:paraId="32EAD87B" w14:textId="68FDCADF" w:rsidR="007C2DA2" w:rsidRDefault="007C2DA2">
          <w:pPr>
            <w:pStyle w:val="TOC2"/>
            <w:rPr>
              <w:rFonts w:asciiTheme="minorHAnsi" w:eastAsiaTheme="minorEastAsia" w:hAnsiTheme="minorHAnsi" w:cstheme="minorBidi"/>
              <w:noProof/>
              <w:kern w:val="2"/>
              <w:lang w:val="en-CA" w:eastAsia="en-CA"/>
              <w14:ligatures w14:val="standardContextual"/>
            </w:rPr>
          </w:pPr>
          <w:hyperlink w:anchor="_Toc153363292" w:history="1">
            <w:r w:rsidRPr="008E0E49">
              <w:rPr>
                <w:rStyle w:val="Hyperlink"/>
                <w:noProof/>
              </w:rPr>
              <w:t>1.</w:t>
            </w:r>
            <w:r>
              <w:rPr>
                <w:rFonts w:asciiTheme="minorHAnsi" w:eastAsiaTheme="minorEastAsia" w:hAnsiTheme="minorHAnsi" w:cstheme="minorBidi"/>
                <w:noProof/>
                <w:kern w:val="2"/>
                <w:lang w:val="en-CA" w:eastAsia="en-CA"/>
                <w14:ligatures w14:val="standardContextual"/>
              </w:rPr>
              <w:tab/>
            </w:r>
            <w:r w:rsidRPr="008E0E49">
              <w:rPr>
                <w:rStyle w:val="Hyperlink"/>
                <w:noProof/>
              </w:rPr>
              <w:t>Eligible Cost Categories</w:t>
            </w:r>
            <w:r>
              <w:rPr>
                <w:noProof/>
                <w:webHidden/>
              </w:rPr>
              <w:tab/>
            </w:r>
            <w:r>
              <w:rPr>
                <w:noProof/>
                <w:webHidden/>
              </w:rPr>
              <w:fldChar w:fldCharType="begin"/>
            </w:r>
            <w:r>
              <w:rPr>
                <w:noProof/>
                <w:webHidden/>
              </w:rPr>
              <w:instrText xml:space="preserve"> PAGEREF _Toc153363292 \h </w:instrText>
            </w:r>
            <w:r>
              <w:rPr>
                <w:noProof/>
                <w:webHidden/>
              </w:rPr>
            </w:r>
            <w:r>
              <w:rPr>
                <w:noProof/>
                <w:webHidden/>
              </w:rPr>
              <w:fldChar w:fldCharType="separate"/>
            </w:r>
            <w:r w:rsidR="00570B02">
              <w:rPr>
                <w:noProof/>
                <w:webHidden/>
              </w:rPr>
              <w:t>5</w:t>
            </w:r>
            <w:r>
              <w:rPr>
                <w:noProof/>
                <w:webHidden/>
              </w:rPr>
              <w:fldChar w:fldCharType="end"/>
            </w:r>
          </w:hyperlink>
        </w:p>
        <w:p w14:paraId="767FAEE9" w14:textId="622289AF" w:rsidR="007C2DA2" w:rsidRDefault="007C2DA2">
          <w:pPr>
            <w:pStyle w:val="TOC3"/>
            <w:tabs>
              <w:tab w:val="left" w:pos="880"/>
              <w:tab w:val="right" w:leader="dot" w:pos="9350"/>
            </w:tabs>
            <w:rPr>
              <w:rFonts w:asciiTheme="minorHAnsi" w:eastAsiaTheme="minorEastAsia" w:hAnsiTheme="minorHAnsi" w:cstheme="minorBidi"/>
              <w:noProof/>
              <w:kern w:val="2"/>
              <w:lang w:val="en-CA" w:eastAsia="en-CA"/>
              <w14:ligatures w14:val="standardContextual"/>
            </w:rPr>
          </w:pPr>
          <w:hyperlink w:anchor="_Toc153363293" w:history="1">
            <w:r w:rsidRPr="008E0E49">
              <w:rPr>
                <w:rStyle w:val="Hyperlink"/>
                <w:noProof/>
              </w:rPr>
              <w:t>I.</w:t>
            </w:r>
            <w:r>
              <w:rPr>
                <w:rFonts w:asciiTheme="minorHAnsi" w:eastAsiaTheme="minorEastAsia" w:hAnsiTheme="minorHAnsi" w:cstheme="minorBidi"/>
                <w:noProof/>
                <w:kern w:val="2"/>
                <w:lang w:val="en-CA" w:eastAsia="en-CA"/>
                <w14:ligatures w14:val="standardContextual"/>
              </w:rPr>
              <w:tab/>
            </w:r>
            <w:r w:rsidRPr="008E0E49">
              <w:rPr>
                <w:rStyle w:val="Hyperlink"/>
                <w:noProof/>
              </w:rPr>
              <w:t>Direct Labour</w:t>
            </w:r>
            <w:r>
              <w:rPr>
                <w:noProof/>
                <w:webHidden/>
              </w:rPr>
              <w:tab/>
            </w:r>
            <w:r>
              <w:rPr>
                <w:noProof/>
                <w:webHidden/>
              </w:rPr>
              <w:fldChar w:fldCharType="begin"/>
            </w:r>
            <w:r>
              <w:rPr>
                <w:noProof/>
                <w:webHidden/>
              </w:rPr>
              <w:instrText xml:space="preserve"> PAGEREF _Toc153363293 \h </w:instrText>
            </w:r>
            <w:r>
              <w:rPr>
                <w:noProof/>
                <w:webHidden/>
              </w:rPr>
            </w:r>
            <w:r>
              <w:rPr>
                <w:noProof/>
                <w:webHidden/>
              </w:rPr>
              <w:fldChar w:fldCharType="separate"/>
            </w:r>
            <w:r w:rsidR="00570B02">
              <w:rPr>
                <w:noProof/>
                <w:webHidden/>
              </w:rPr>
              <w:t>5</w:t>
            </w:r>
            <w:r>
              <w:rPr>
                <w:noProof/>
                <w:webHidden/>
              </w:rPr>
              <w:fldChar w:fldCharType="end"/>
            </w:r>
          </w:hyperlink>
        </w:p>
        <w:p w14:paraId="1B6624BF" w14:textId="0D4873CC" w:rsidR="007C2DA2" w:rsidRDefault="007C2DA2">
          <w:pPr>
            <w:pStyle w:val="TOC3"/>
            <w:tabs>
              <w:tab w:val="left" w:pos="880"/>
              <w:tab w:val="right" w:leader="dot" w:pos="9350"/>
            </w:tabs>
            <w:rPr>
              <w:rFonts w:asciiTheme="minorHAnsi" w:eastAsiaTheme="minorEastAsia" w:hAnsiTheme="minorHAnsi" w:cstheme="minorBidi"/>
              <w:noProof/>
              <w:kern w:val="2"/>
              <w:lang w:val="en-CA" w:eastAsia="en-CA"/>
              <w14:ligatures w14:val="standardContextual"/>
            </w:rPr>
          </w:pPr>
          <w:hyperlink w:anchor="_Toc153363294" w:history="1">
            <w:r w:rsidRPr="008E0E49">
              <w:rPr>
                <w:rStyle w:val="Hyperlink"/>
                <w:noProof/>
              </w:rPr>
              <w:t>II.</w:t>
            </w:r>
            <w:r>
              <w:rPr>
                <w:rFonts w:asciiTheme="minorHAnsi" w:eastAsiaTheme="minorEastAsia" w:hAnsiTheme="minorHAnsi" w:cstheme="minorBidi"/>
                <w:noProof/>
                <w:kern w:val="2"/>
                <w:lang w:val="en-CA" w:eastAsia="en-CA"/>
                <w14:ligatures w14:val="standardContextual"/>
              </w:rPr>
              <w:tab/>
            </w:r>
            <w:r w:rsidRPr="008E0E49">
              <w:rPr>
                <w:rStyle w:val="Hyperlink"/>
                <w:noProof/>
              </w:rPr>
              <w:t>Subcontractors and Consultants:</w:t>
            </w:r>
            <w:r>
              <w:rPr>
                <w:noProof/>
                <w:webHidden/>
              </w:rPr>
              <w:tab/>
            </w:r>
            <w:r>
              <w:rPr>
                <w:noProof/>
                <w:webHidden/>
              </w:rPr>
              <w:fldChar w:fldCharType="begin"/>
            </w:r>
            <w:r>
              <w:rPr>
                <w:noProof/>
                <w:webHidden/>
              </w:rPr>
              <w:instrText xml:space="preserve"> PAGEREF _Toc153363294 \h </w:instrText>
            </w:r>
            <w:r>
              <w:rPr>
                <w:noProof/>
                <w:webHidden/>
              </w:rPr>
            </w:r>
            <w:r>
              <w:rPr>
                <w:noProof/>
                <w:webHidden/>
              </w:rPr>
              <w:fldChar w:fldCharType="separate"/>
            </w:r>
            <w:r w:rsidR="00570B02">
              <w:rPr>
                <w:noProof/>
                <w:webHidden/>
              </w:rPr>
              <w:t>5</w:t>
            </w:r>
            <w:r>
              <w:rPr>
                <w:noProof/>
                <w:webHidden/>
              </w:rPr>
              <w:fldChar w:fldCharType="end"/>
            </w:r>
          </w:hyperlink>
        </w:p>
        <w:p w14:paraId="389C6FDB" w14:textId="1EC2DE14" w:rsidR="007C2DA2" w:rsidRDefault="007C2DA2">
          <w:pPr>
            <w:pStyle w:val="TOC3"/>
            <w:tabs>
              <w:tab w:val="left" w:pos="1100"/>
              <w:tab w:val="right" w:leader="dot" w:pos="9350"/>
            </w:tabs>
            <w:rPr>
              <w:rFonts w:asciiTheme="minorHAnsi" w:eastAsiaTheme="minorEastAsia" w:hAnsiTheme="minorHAnsi" w:cstheme="minorBidi"/>
              <w:noProof/>
              <w:kern w:val="2"/>
              <w:lang w:val="en-CA" w:eastAsia="en-CA"/>
              <w14:ligatures w14:val="standardContextual"/>
            </w:rPr>
          </w:pPr>
          <w:hyperlink w:anchor="_Toc153363295" w:history="1">
            <w:r w:rsidRPr="008E0E49">
              <w:rPr>
                <w:rStyle w:val="Hyperlink"/>
                <w:noProof/>
              </w:rPr>
              <w:t>III.</w:t>
            </w:r>
            <w:r>
              <w:rPr>
                <w:rFonts w:asciiTheme="minorHAnsi" w:eastAsiaTheme="minorEastAsia" w:hAnsiTheme="minorHAnsi" w:cstheme="minorBidi"/>
                <w:noProof/>
                <w:kern w:val="2"/>
                <w:lang w:val="en-CA" w:eastAsia="en-CA"/>
                <w14:ligatures w14:val="standardContextual"/>
              </w:rPr>
              <w:tab/>
            </w:r>
            <w:r w:rsidRPr="008E0E49">
              <w:rPr>
                <w:rStyle w:val="Hyperlink"/>
                <w:noProof/>
              </w:rPr>
              <w:t>Direct Materials</w:t>
            </w:r>
            <w:r>
              <w:rPr>
                <w:noProof/>
                <w:webHidden/>
              </w:rPr>
              <w:tab/>
            </w:r>
            <w:r>
              <w:rPr>
                <w:noProof/>
                <w:webHidden/>
              </w:rPr>
              <w:fldChar w:fldCharType="begin"/>
            </w:r>
            <w:r>
              <w:rPr>
                <w:noProof/>
                <w:webHidden/>
              </w:rPr>
              <w:instrText xml:space="preserve"> PAGEREF _Toc153363295 \h </w:instrText>
            </w:r>
            <w:r>
              <w:rPr>
                <w:noProof/>
                <w:webHidden/>
              </w:rPr>
            </w:r>
            <w:r>
              <w:rPr>
                <w:noProof/>
                <w:webHidden/>
              </w:rPr>
              <w:fldChar w:fldCharType="separate"/>
            </w:r>
            <w:r w:rsidR="00570B02">
              <w:rPr>
                <w:noProof/>
                <w:webHidden/>
              </w:rPr>
              <w:t>5</w:t>
            </w:r>
            <w:r>
              <w:rPr>
                <w:noProof/>
                <w:webHidden/>
              </w:rPr>
              <w:fldChar w:fldCharType="end"/>
            </w:r>
          </w:hyperlink>
        </w:p>
        <w:p w14:paraId="647BEE70" w14:textId="6EB01A58" w:rsidR="007C2DA2" w:rsidRDefault="007C2DA2">
          <w:pPr>
            <w:pStyle w:val="TOC3"/>
            <w:tabs>
              <w:tab w:val="left" w:pos="1100"/>
              <w:tab w:val="right" w:leader="dot" w:pos="9350"/>
            </w:tabs>
            <w:rPr>
              <w:rFonts w:asciiTheme="minorHAnsi" w:eastAsiaTheme="minorEastAsia" w:hAnsiTheme="minorHAnsi" w:cstheme="minorBidi"/>
              <w:noProof/>
              <w:kern w:val="2"/>
              <w:lang w:val="en-CA" w:eastAsia="en-CA"/>
              <w14:ligatures w14:val="standardContextual"/>
            </w:rPr>
          </w:pPr>
          <w:hyperlink w:anchor="_Toc153363296" w:history="1">
            <w:r w:rsidRPr="008E0E49">
              <w:rPr>
                <w:rStyle w:val="Hyperlink"/>
                <w:noProof/>
              </w:rPr>
              <w:t>IV.</w:t>
            </w:r>
            <w:r>
              <w:rPr>
                <w:rFonts w:asciiTheme="minorHAnsi" w:eastAsiaTheme="minorEastAsia" w:hAnsiTheme="minorHAnsi" w:cstheme="minorBidi"/>
                <w:noProof/>
                <w:kern w:val="2"/>
                <w:lang w:val="en-CA" w:eastAsia="en-CA"/>
                <w14:ligatures w14:val="standardContextual"/>
              </w:rPr>
              <w:tab/>
            </w:r>
            <w:r w:rsidRPr="008E0E49">
              <w:rPr>
                <w:rStyle w:val="Hyperlink"/>
                <w:noProof/>
              </w:rPr>
              <w:t>Equipment</w:t>
            </w:r>
            <w:r>
              <w:rPr>
                <w:noProof/>
                <w:webHidden/>
              </w:rPr>
              <w:tab/>
            </w:r>
            <w:r>
              <w:rPr>
                <w:noProof/>
                <w:webHidden/>
              </w:rPr>
              <w:fldChar w:fldCharType="begin"/>
            </w:r>
            <w:r>
              <w:rPr>
                <w:noProof/>
                <w:webHidden/>
              </w:rPr>
              <w:instrText xml:space="preserve"> PAGEREF _Toc153363296 \h </w:instrText>
            </w:r>
            <w:r>
              <w:rPr>
                <w:noProof/>
                <w:webHidden/>
              </w:rPr>
            </w:r>
            <w:r>
              <w:rPr>
                <w:noProof/>
                <w:webHidden/>
              </w:rPr>
              <w:fldChar w:fldCharType="separate"/>
            </w:r>
            <w:r w:rsidR="00570B02">
              <w:rPr>
                <w:noProof/>
                <w:webHidden/>
              </w:rPr>
              <w:t>6</w:t>
            </w:r>
            <w:r>
              <w:rPr>
                <w:noProof/>
                <w:webHidden/>
              </w:rPr>
              <w:fldChar w:fldCharType="end"/>
            </w:r>
          </w:hyperlink>
        </w:p>
        <w:p w14:paraId="01771C47" w14:textId="252526A7" w:rsidR="007C2DA2" w:rsidRDefault="007C2DA2">
          <w:pPr>
            <w:pStyle w:val="TOC3"/>
            <w:tabs>
              <w:tab w:val="left" w:pos="880"/>
              <w:tab w:val="right" w:leader="dot" w:pos="9350"/>
            </w:tabs>
            <w:rPr>
              <w:rFonts w:asciiTheme="minorHAnsi" w:eastAsiaTheme="minorEastAsia" w:hAnsiTheme="minorHAnsi" w:cstheme="minorBidi"/>
              <w:noProof/>
              <w:kern w:val="2"/>
              <w:lang w:val="en-CA" w:eastAsia="en-CA"/>
              <w14:ligatures w14:val="standardContextual"/>
            </w:rPr>
          </w:pPr>
          <w:hyperlink w:anchor="_Toc153363297" w:history="1">
            <w:r w:rsidRPr="008E0E49">
              <w:rPr>
                <w:rStyle w:val="Hyperlink"/>
                <w:noProof/>
              </w:rPr>
              <w:t>V.</w:t>
            </w:r>
            <w:r>
              <w:rPr>
                <w:rFonts w:asciiTheme="minorHAnsi" w:eastAsiaTheme="minorEastAsia" w:hAnsiTheme="minorHAnsi" w:cstheme="minorBidi"/>
                <w:noProof/>
                <w:kern w:val="2"/>
                <w:lang w:val="en-CA" w:eastAsia="en-CA"/>
                <w14:ligatures w14:val="standardContextual"/>
              </w:rPr>
              <w:tab/>
            </w:r>
            <w:r w:rsidRPr="008E0E49">
              <w:rPr>
                <w:rStyle w:val="Hyperlink"/>
                <w:noProof/>
              </w:rPr>
              <w:t>Land, Building and Building Improvement:</w:t>
            </w:r>
            <w:r>
              <w:rPr>
                <w:noProof/>
                <w:webHidden/>
              </w:rPr>
              <w:tab/>
            </w:r>
            <w:r>
              <w:rPr>
                <w:noProof/>
                <w:webHidden/>
              </w:rPr>
              <w:fldChar w:fldCharType="begin"/>
            </w:r>
            <w:r>
              <w:rPr>
                <w:noProof/>
                <w:webHidden/>
              </w:rPr>
              <w:instrText xml:space="preserve"> PAGEREF _Toc153363297 \h </w:instrText>
            </w:r>
            <w:r>
              <w:rPr>
                <w:noProof/>
                <w:webHidden/>
              </w:rPr>
            </w:r>
            <w:r>
              <w:rPr>
                <w:noProof/>
                <w:webHidden/>
              </w:rPr>
              <w:fldChar w:fldCharType="separate"/>
            </w:r>
            <w:r w:rsidR="00570B02">
              <w:rPr>
                <w:noProof/>
                <w:webHidden/>
              </w:rPr>
              <w:t>6</w:t>
            </w:r>
            <w:r>
              <w:rPr>
                <w:noProof/>
                <w:webHidden/>
              </w:rPr>
              <w:fldChar w:fldCharType="end"/>
            </w:r>
          </w:hyperlink>
        </w:p>
        <w:p w14:paraId="51847E3F" w14:textId="039E797A" w:rsidR="007C2DA2" w:rsidRDefault="007C2DA2">
          <w:pPr>
            <w:pStyle w:val="TOC3"/>
            <w:tabs>
              <w:tab w:val="left" w:pos="1100"/>
              <w:tab w:val="right" w:leader="dot" w:pos="9350"/>
            </w:tabs>
            <w:rPr>
              <w:rFonts w:asciiTheme="minorHAnsi" w:eastAsiaTheme="minorEastAsia" w:hAnsiTheme="minorHAnsi" w:cstheme="minorBidi"/>
              <w:noProof/>
              <w:kern w:val="2"/>
              <w:lang w:val="en-CA" w:eastAsia="en-CA"/>
              <w14:ligatures w14:val="standardContextual"/>
            </w:rPr>
          </w:pPr>
          <w:hyperlink w:anchor="_Toc153363298" w:history="1">
            <w:r w:rsidRPr="008E0E49">
              <w:rPr>
                <w:rStyle w:val="Hyperlink"/>
                <w:noProof/>
              </w:rPr>
              <w:t>VI.</w:t>
            </w:r>
            <w:r>
              <w:rPr>
                <w:rFonts w:asciiTheme="minorHAnsi" w:eastAsiaTheme="minorEastAsia" w:hAnsiTheme="minorHAnsi" w:cstheme="minorBidi"/>
                <w:noProof/>
                <w:kern w:val="2"/>
                <w:lang w:val="en-CA" w:eastAsia="en-CA"/>
                <w14:ligatures w14:val="standardContextual"/>
              </w:rPr>
              <w:tab/>
            </w:r>
            <w:r w:rsidRPr="008E0E49">
              <w:rPr>
                <w:rStyle w:val="Hyperlink"/>
                <w:noProof/>
              </w:rPr>
              <w:t>Other Direct Costs:</w:t>
            </w:r>
            <w:r>
              <w:rPr>
                <w:noProof/>
                <w:webHidden/>
              </w:rPr>
              <w:tab/>
            </w:r>
            <w:r>
              <w:rPr>
                <w:noProof/>
                <w:webHidden/>
              </w:rPr>
              <w:fldChar w:fldCharType="begin"/>
            </w:r>
            <w:r>
              <w:rPr>
                <w:noProof/>
                <w:webHidden/>
              </w:rPr>
              <w:instrText xml:space="preserve"> PAGEREF _Toc153363298 \h </w:instrText>
            </w:r>
            <w:r>
              <w:rPr>
                <w:noProof/>
                <w:webHidden/>
              </w:rPr>
            </w:r>
            <w:r>
              <w:rPr>
                <w:noProof/>
                <w:webHidden/>
              </w:rPr>
              <w:fldChar w:fldCharType="separate"/>
            </w:r>
            <w:r w:rsidR="00570B02">
              <w:rPr>
                <w:noProof/>
                <w:webHidden/>
              </w:rPr>
              <w:t>6</w:t>
            </w:r>
            <w:r>
              <w:rPr>
                <w:noProof/>
                <w:webHidden/>
              </w:rPr>
              <w:fldChar w:fldCharType="end"/>
            </w:r>
          </w:hyperlink>
        </w:p>
        <w:p w14:paraId="62EC2867" w14:textId="2E47FE93" w:rsidR="007C2DA2" w:rsidRDefault="007C2DA2">
          <w:pPr>
            <w:pStyle w:val="TOC2"/>
            <w:rPr>
              <w:rFonts w:asciiTheme="minorHAnsi" w:eastAsiaTheme="minorEastAsia" w:hAnsiTheme="minorHAnsi" w:cstheme="minorBidi"/>
              <w:noProof/>
              <w:kern w:val="2"/>
              <w:lang w:val="en-CA" w:eastAsia="en-CA"/>
              <w14:ligatures w14:val="standardContextual"/>
            </w:rPr>
          </w:pPr>
          <w:hyperlink w:anchor="_Toc153363299" w:history="1">
            <w:r w:rsidRPr="008E0E49">
              <w:rPr>
                <w:rStyle w:val="Hyperlink"/>
                <w:noProof/>
              </w:rPr>
              <w:t>2.</w:t>
            </w:r>
            <w:r>
              <w:rPr>
                <w:rFonts w:asciiTheme="minorHAnsi" w:eastAsiaTheme="minorEastAsia" w:hAnsiTheme="minorHAnsi" w:cstheme="minorBidi"/>
                <w:noProof/>
                <w:kern w:val="2"/>
                <w:lang w:val="en-CA" w:eastAsia="en-CA"/>
                <w14:ligatures w14:val="standardContextual"/>
              </w:rPr>
              <w:tab/>
            </w:r>
            <w:r w:rsidRPr="008E0E49">
              <w:rPr>
                <w:rStyle w:val="Hyperlink"/>
                <w:noProof/>
              </w:rPr>
              <w:t>Indirect Costs (Overhead)</w:t>
            </w:r>
            <w:r>
              <w:rPr>
                <w:noProof/>
                <w:webHidden/>
              </w:rPr>
              <w:tab/>
            </w:r>
            <w:r>
              <w:rPr>
                <w:noProof/>
                <w:webHidden/>
              </w:rPr>
              <w:fldChar w:fldCharType="begin"/>
            </w:r>
            <w:r>
              <w:rPr>
                <w:noProof/>
                <w:webHidden/>
              </w:rPr>
              <w:instrText xml:space="preserve"> PAGEREF _Toc153363299 \h </w:instrText>
            </w:r>
            <w:r>
              <w:rPr>
                <w:noProof/>
                <w:webHidden/>
              </w:rPr>
            </w:r>
            <w:r>
              <w:rPr>
                <w:noProof/>
                <w:webHidden/>
              </w:rPr>
              <w:fldChar w:fldCharType="separate"/>
            </w:r>
            <w:r w:rsidR="00570B02">
              <w:rPr>
                <w:noProof/>
                <w:webHidden/>
              </w:rPr>
              <w:t>6</w:t>
            </w:r>
            <w:r>
              <w:rPr>
                <w:noProof/>
                <w:webHidden/>
              </w:rPr>
              <w:fldChar w:fldCharType="end"/>
            </w:r>
          </w:hyperlink>
        </w:p>
        <w:p w14:paraId="18D6E3D8" w14:textId="1F9C7095" w:rsidR="007C2DA2" w:rsidRDefault="007C2DA2">
          <w:pPr>
            <w:pStyle w:val="TOC2"/>
            <w:rPr>
              <w:rFonts w:asciiTheme="minorHAnsi" w:eastAsiaTheme="minorEastAsia" w:hAnsiTheme="minorHAnsi" w:cstheme="minorBidi"/>
              <w:noProof/>
              <w:kern w:val="2"/>
              <w:lang w:val="en-CA" w:eastAsia="en-CA"/>
              <w14:ligatures w14:val="standardContextual"/>
            </w:rPr>
          </w:pPr>
          <w:hyperlink w:anchor="_Toc153363300" w:history="1">
            <w:r w:rsidRPr="008E0E49">
              <w:rPr>
                <w:rStyle w:val="Hyperlink"/>
                <w:noProof/>
              </w:rPr>
              <w:t>3.</w:t>
            </w:r>
            <w:r>
              <w:rPr>
                <w:rFonts w:asciiTheme="minorHAnsi" w:eastAsiaTheme="minorEastAsia" w:hAnsiTheme="minorHAnsi" w:cstheme="minorBidi"/>
                <w:noProof/>
                <w:kern w:val="2"/>
                <w:lang w:val="en-CA" w:eastAsia="en-CA"/>
                <w14:ligatures w14:val="standardContextual"/>
              </w:rPr>
              <w:tab/>
            </w:r>
            <w:r w:rsidRPr="008E0E49">
              <w:rPr>
                <w:rStyle w:val="Hyperlink"/>
                <w:noProof/>
              </w:rPr>
              <w:t>Ineligible Costs</w:t>
            </w:r>
            <w:r>
              <w:rPr>
                <w:noProof/>
                <w:webHidden/>
              </w:rPr>
              <w:tab/>
            </w:r>
            <w:r>
              <w:rPr>
                <w:noProof/>
                <w:webHidden/>
              </w:rPr>
              <w:fldChar w:fldCharType="begin"/>
            </w:r>
            <w:r>
              <w:rPr>
                <w:noProof/>
                <w:webHidden/>
              </w:rPr>
              <w:instrText xml:space="preserve"> PAGEREF _Toc153363300 \h </w:instrText>
            </w:r>
            <w:r>
              <w:rPr>
                <w:noProof/>
                <w:webHidden/>
              </w:rPr>
            </w:r>
            <w:r>
              <w:rPr>
                <w:noProof/>
                <w:webHidden/>
              </w:rPr>
              <w:fldChar w:fldCharType="separate"/>
            </w:r>
            <w:r w:rsidR="00570B02">
              <w:rPr>
                <w:noProof/>
                <w:webHidden/>
              </w:rPr>
              <w:t>7</w:t>
            </w:r>
            <w:r>
              <w:rPr>
                <w:noProof/>
                <w:webHidden/>
              </w:rPr>
              <w:fldChar w:fldCharType="end"/>
            </w:r>
          </w:hyperlink>
        </w:p>
        <w:p w14:paraId="06EF8294" w14:textId="0C822EEE" w:rsidR="007C2DA2" w:rsidRDefault="007C2DA2">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153363301" w:history="1">
            <w:r w:rsidRPr="008E0E49">
              <w:rPr>
                <w:rStyle w:val="Hyperlink"/>
                <w:noProof/>
              </w:rPr>
              <w:t>Guide to Completing the Application</w:t>
            </w:r>
            <w:r>
              <w:rPr>
                <w:noProof/>
                <w:webHidden/>
              </w:rPr>
              <w:tab/>
            </w:r>
            <w:r>
              <w:rPr>
                <w:noProof/>
                <w:webHidden/>
              </w:rPr>
              <w:fldChar w:fldCharType="begin"/>
            </w:r>
            <w:r>
              <w:rPr>
                <w:noProof/>
                <w:webHidden/>
              </w:rPr>
              <w:instrText xml:space="preserve"> PAGEREF _Toc153363301 \h </w:instrText>
            </w:r>
            <w:r>
              <w:rPr>
                <w:noProof/>
                <w:webHidden/>
              </w:rPr>
            </w:r>
            <w:r>
              <w:rPr>
                <w:noProof/>
                <w:webHidden/>
              </w:rPr>
              <w:fldChar w:fldCharType="separate"/>
            </w:r>
            <w:r w:rsidR="00570B02">
              <w:rPr>
                <w:noProof/>
                <w:webHidden/>
              </w:rPr>
              <w:t>8</w:t>
            </w:r>
            <w:r>
              <w:rPr>
                <w:noProof/>
                <w:webHidden/>
              </w:rPr>
              <w:fldChar w:fldCharType="end"/>
            </w:r>
          </w:hyperlink>
        </w:p>
        <w:p w14:paraId="2D712894" w14:textId="69C82F57" w:rsidR="007C2DA2" w:rsidRDefault="007C2DA2">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153363302" w:history="1">
            <w:r w:rsidRPr="008E0E49">
              <w:rPr>
                <w:rStyle w:val="Hyperlink"/>
                <w:noProof/>
              </w:rPr>
              <w:t>Review Process and Evaluation Criteria</w:t>
            </w:r>
            <w:r>
              <w:rPr>
                <w:noProof/>
                <w:webHidden/>
              </w:rPr>
              <w:tab/>
            </w:r>
            <w:r>
              <w:rPr>
                <w:noProof/>
                <w:webHidden/>
              </w:rPr>
              <w:fldChar w:fldCharType="begin"/>
            </w:r>
            <w:r>
              <w:rPr>
                <w:noProof/>
                <w:webHidden/>
              </w:rPr>
              <w:instrText xml:space="preserve"> PAGEREF _Toc153363302 \h </w:instrText>
            </w:r>
            <w:r>
              <w:rPr>
                <w:noProof/>
                <w:webHidden/>
              </w:rPr>
            </w:r>
            <w:r>
              <w:rPr>
                <w:noProof/>
                <w:webHidden/>
              </w:rPr>
              <w:fldChar w:fldCharType="separate"/>
            </w:r>
            <w:r w:rsidR="00570B02">
              <w:rPr>
                <w:noProof/>
                <w:webHidden/>
              </w:rPr>
              <w:t>8</w:t>
            </w:r>
            <w:r>
              <w:rPr>
                <w:noProof/>
                <w:webHidden/>
              </w:rPr>
              <w:fldChar w:fldCharType="end"/>
            </w:r>
          </w:hyperlink>
        </w:p>
        <w:p w14:paraId="692E942C" w14:textId="38531FD7" w:rsidR="007C2DA2" w:rsidRDefault="007C2DA2">
          <w:pPr>
            <w:pStyle w:val="TOC2"/>
            <w:rPr>
              <w:rFonts w:asciiTheme="minorHAnsi" w:eastAsiaTheme="minorEastAsia" w:hAnsiTheme="minorHAnsi" w:cstheme="minorBidi"/>
              <w:noProof/>
              <w:kern w:val="2"/>
              <w:lang w:val="en-CA" w:eastAsia="en-CA"/>
              <w14:ligatures w14:val="standardContextual"/>
            </w:rPr>
          </w:pPr>
          <w:hyperlink w:anchor="_Toc153363303" w:history="1">
            <w:r w:rsidRPr="008E0E49">
              <w:rPr>
                <w:rStyle w:val="Hyperlink"/>
                <w:noProof/>
              </w:rPr>
              <w:t>CMIE Eligible Project Selection Criteria</w:t>
            </w:r>
            <w:r>
              <w:rPr>
                <w:noProof/>
                <w:webHidden/>
              </w:rPr>
              <w:tab/>
            </w:r>
            <w:r>
              <w:rPr>
                <w:noProof/>
                <w:webHidden/>
              </w:rPr>
              <w:fldChar w:fldCharType="begin"/>
            </w:r>
            <w:r>
              <w:rPr>
                <w:noProof/>
                <w:webHidden/>
              </w:rPr>
              <w:instrText xml:space="preserve"> PAGEREF _Toc153363303 \h </w:instrText>
            </w:r>
            <w:r>
              <w:rPr>
                <w:noProof/>
                <w:webHidden/>
              </w:rPr>
            </w:r>
            <w:r>
              <w:rPr>
                <w:noProof/>
                <w:webHidden/>
              </w:rPr>
              <w:fldChar w:fldCharType="separate"/>
            </w:r>
            <w:r w:rsidR="00570B02">
              <w:rPr>
                <w:noProof/>
                <w:webHidden/>
              </w:rPr>
              <w:t>9</w:t>
            </w:r>
            <w:r>
              <w:rPr>
                <w:noProof/>
                <w:webHidden/>
              </w:rPr>
              <w:fldChar w:fldCharType="end"/>
            </w:r>
          </w:hyperlink>
        </w:p>
        <w:p w14:paraId="3AF75718" w14:textId="63875639" w:rsidR="007C2DA2" w:rsidRDefault="007C2DA2">
          <w:pPr>
            <w:pStyle w:val="TOC2"/>
            <w:rPr>
              <w:rFonts w:asciiTheme="minorHAnsi" w:eastAsiaTheme="minorEastAsia" w:hAnsiTheme="minorHAnsi" w:cstheme="minorBidi"/>
              <w:noProof/>
              <w:kern w:val="2"/>
              <w:lang w:val="en-CA" w:eastAsia="en-CA"/>
              <w14:ligatures w14:val="standardContextual"/>
            </w:rPr>
          </w:pPr>
          <w:hyperlink w:anchor="_Toc153363304" w:history="1">
            <w:r w:rsidRPr="008E0E49">
              <w:rPr>
                <w:rStyle w:val="Hyperlink"/>
                <w:noProof/>
              </w:rPr>
              <w:t>Evaluation of Eligible Projects</w:t>
            </w:r>
            <w:r>
              <w:rPr>
                <w:noProof/>
                <w:webHidden/>
              </w:rPr>
              <w:tab/>
            </w:r>
            <w:r>
              <w:rPr>
                <w:noProof/>
                <w:webHidden/>
              </w:rPr>
              <w:fldChar w:fldCharType="begin"/>
            </w:r>
            <w:r>
              <w:rPr>
                <w:noProof/>
                <w:webHidden/>
              </w:rPr>
              <w:instrText xml:space="preserve"> PAGEREF _Toc153363304 \h </w:instrText>
            </w:r>
            <w:r>
              <w:rPr>
                <w:noProof/>
                <w:webHidden/>
              </w:rPr>
            </w:r>
            <w:r>
              <w:rPr>
                <w:noProof/>
                <w:webHidden/>
              </w:rPr>
              <w:fldChar w:fldCharType="separate"/>
            </w:r>
            <w:r w:rsidR="00570B02">
              <w:rPr>
                <w:noProof/>
                <w:webHidden/>
              </w:rPr>
              <w:t>10</w:t>
            </w:r>
            <w:r>
              <w:rPr>
                <w:noProof/>
                <w:webHidden/>
              </w:rPr>
              <w:fldChar w:fldCharType="end"/>
            </w:r>
          </w:hyperlink>
        </w:p>
        <w:p w14:paraId="3DD4F7E7" w14:textId="599F1999" w:rsidR="007C2DA2" w:rsidRDefault="007C2DA2">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153363305" w:history="1">
            <w:r w:rsidRPr="008E0E49">
              <w:rPr>
                <w:rStyle w:val="Hyperlink"/>
                <w:noProof/>
              </w:rPr>
              <w:t>Appendix A: Technology Readiness Levels (TRL)</w:t>
            </w:r>
            <w:r>
              <w:rPr>
                <w:noProof/>
                <w:webHidden/>
              </w:rPr>
              <w:tab/>
            </w:r>
            <w:r>
              <w:rPr>
                <w:noProof/>
                <w:webHidden/>
              </w:rPr>
              <w:fldChar w:fldCharType="begin"/>
            </w:r>
            <w:r>
              <w:rPr>
                <w:noProof/>
                <w:webHidden/>
              </w:rPr>
              <w:instrText xml:space="preserve"> PAGEREF _Toc153363305 \h </w:instrText>
            </w:r>
            <w:r>
              <w:rPr>
                <w:noProof/>
                <w:webHidden/>
              </w:rPr>
            </w:r>
            <w:r>
              <w:rPr>
                <w:noProof/>
                <w:webHidden/>
              </w:rPr>
              <w:fldChar w:fldCharType="separate"/>
            </w:r>
            <w:r w:rsidR="00570B02">
              <w:rPr>
                <w:noProof/>
                <w:webHidden/>
              </w:rPr>
              <w:t>12</w:t>
            </w:r>
            <w:r>
              <w:rPr>
                <w:noProof/>
                <w:webHidden/>
              </w:rPr>
              <w:fldChar w:fldCharType="end"/>
            </w:r>
          </w:hyperlink>
        </w:p>
        <w:p w14:paraId="2E373DFF" w14:textId="42701C9D" w:rsidR="007C2DA2" w:rsidRDefault="007C2DA2">
          <w:pPr>
            <w:pStyle w:val="TOC1"/>
            <w:tabs>
              <w:tab w:val="right" w:leader="dot" w:pos="9350"/>
            </w:tabs>
            <w:rPr>
              <w:rFonts w:asciiTheme="minorHAnsi" w:eastAsiaTheme="minorEastAsia" w:hAnsiTheme="minorHAnsi" w:cstheme="minorBidi"/>
              <w:noProof/>
              <w:kern w:val="2"/>
              <w:lang w:val="en-CA" w:eastAsia="en-CA"/>
              <w14:ligatures w14:val="standardContextual"/>
            </w:rPr>
          </w:pPr>
          <w:hyperlink w:anchor="_Toc153363306" w:history="1">
            <w:r w:rsidRPr="008E0E49">
              <w:rPr>
                <w:rStyle w:val="Hyperlink"/>
                <w:noProof/>
              </w:rPr>
              <w:t>Appendix B: Project Cost Principles</w:t>
            </w:r>
            <w:r>
              <w:rPr>
                <w:noProof/>
                <w:webHidden/>
              </w:rPr>
              <w:tab/>
            </w:r>
            <w:r>
              <w:rPr>
                <w:noProof/>
                <w:webHidden/>
              </w:rPr>
              <w:fldChar w:fldCharType="begin"/>
            </w:r>
            <w:r>
              <w:rPr>
                <w:noProof/>
                <w:webHidden/>
              </w:rPr>
              <w:instrText xml:space="preserve"> PAGEREF _Toc153363306 \h </w:instrText>
            </w:r>
            <w:r>
              <w:rPr>
                <w:noProof/>
                <w:webHidden/>
              </w:rPr>
            </w:r>
            <w:r>
              <w:rPr>
                <w:noProof/>
                <w:webHidden/>
              </w:rPr>
              <w:fldChar w:fldCharType="separate"/>
            </w:r>
            <w:r w:rsidR="00570B02">
              <w:rPr>
                <w:noProof/>
                <w:webHidden/>
              </w:rPr>
              <w:t>13</w:t>
            </w:r>
            <w:r>
              <w:rPr>
                <w:noProof/>
                <w:webHidden/>
              </w:rPr>
              <w:fldChar w:fldCharType="end"/>
            </w:r>
          </w:hyperlink>
        </w:p>
        <w:p w14:paraId="18523AC1" w14:textId="2D326342" w:rsidR="007C2DA2" w:rsidRDefault="007C2DA2">
          <w:pPr>
            <w:pStyle w:val="TOC2"/>
            <w:rPr>
              <w:rFonts w:asciiTheme="minorHAnsi" w:eastAsiaTheme="minorEastAsia" w:hAnsiTheme="minorHAnsi" w:cstheme="minorBidi"/>
              <w:noProof/>
              <w:kern w:val="2"/>
              <w:lang w:val="en-CA" w:eastAsia="en-CA"/>
              <w14:ligatures w14:val="standardContextual"/>
            </w:rPr>
          </w:pPr>
          <w:hyperlink w:anchor="_Toc153363307" w:history="1">
            <w:r w:rsidRPr="008E0E49">
              <w:rPr>
                <w:rStyle w:val="Hyperlink"/>
                <w:noProof/>
              </w:rPr>
              <w:t>1.</w:t>
            </w:r>
            <w:r>
              <w:rPr>
                <w:rFonts w:asciiTheme="minorHAnsi" w:eastAsiaTheme="minorEastAsia" w:hAnsiTheme="minorHAnsi" w:cstheme="minorBidi"/>
                <w:noProof/>
                <w:kern w:val="2"/>
                <w:lang w:val="en-CA" w:eastAsia="en-CA"/>
                <w14:ligatures w14:val="standardContextual"/>
              </w:rPr>
              <w:tab/>
            </w:r>
            <w:r w:rsidRPr="008E0E49">
              <w:rPr>
                <w:rStyle w:val="Hyperlink"/>
                <w:noProof/>
              </w:rPr>
              <w:t>Eligible Costs</w:t>
            </w:r>
            <w:r>
              <w:rPr>
                <w:noProof/>
                <w:webHidden/>
              </w:rPr>
              <w:tab/>
            </w:r>
            <w:r>
              <w:rPr>
                <w:noProof/>
                <w:webHidden/>
              </w:rPr>
              <w:fldChar w:fldCharType="begin"/>
            </w:r>
            <w:r>
              <w:rPr>
                <w:noProof/>
                <w:webHidden/>
              </w:rPr>
              <w:instrText xml:space="preserve"> PAGEREF _Toc153363307 \h </w:instrText>
            </w:r>
            <w:r>
              <w:rPr>
                <w:noProof/>
                <w:webHidden/>
              </w:rPr>
            </w:r>
            <w:r>
              <w:rPr>
                <w:noProof/>
                <w:webHidden/>
              </w:rPr>
              <w:fldChar w:fldCharType="separate"/>
            </w:r>
            <w:r w:rsidR="00570B02">
              <w:rPr>
                <w:noProof/>
                <w:webHidden/>
              </w:rPr>
              <w:t>13</w:t>
            </w:r>
            <w:r>
              <w:rPr>
                <w:noProof/>
                <w:webHidden/>
              </w:rPr>
              <w:fldChar w:fldCharType="end"/>
            </w:r>
          </w:hyperlink>
        </w:p>
        <w:p w14:paraId="25A4ACCC" w14:textId="5F854333" w:rsidR="007C2DA2" w:rsidRDefault="007C2DA2">
          <w:pPr>
            <w:pStyle w:val="TOC2"/>
            <w:rPr>
              <w:rFonts w:asciiTheme="minorHAnsi" w:eastAsiaTheme="minorEastAsia" w:hAnsiTheme="minorHAnsi" w:cstheme="minorBidi"/>
              <w:noProof/>
              <w:kern w:val="2"/>
              <w:lang w:val="en-CA" w:eastAsia="en-CA"/>
              <w14:ligatures w14:val="standardContextual"/>
            </w:rPr>
          </w:pPr>
          <w:hyperlink w:anchor="_Toc153363308" w:history="1">
            <w:r w:rsidRPr="008E0E49">
              <w:rPr>
                <w:rStyle w:val="Hyperlink"/>
                <w:noProof/>
              </w:rPr>
              <w:t>2.</w:t>
            </w:r>
            <w:r>
              <w:rPr>
                <w:rFonts w:asciiTheme="minorHAnsi" w:eastAsiaTheme="minorEastAsia" w:hAnsiTheme="minorHAnsi" w:cstheme="minorBidi"/>
                <w:noProof/>
                <w:kern w:val="2"/>
                <w:lang w:val="en-CA" w:eastAsia="en-CA"/>
                <w14:ligatures w14:val="standardContextual"/>
              </w:rPr>
              <w:tab/>
            </w:r>
            <w:r w:rsidRPr="008E0E49">
              <w:rPr>
                <w:rStyle w:val="Hyperlink"/>
                <w:noProof/>
              </w:rPr>
              <w:t>Affiliated Persons Clause</w:t>
            </w:r>
            <w:r>
              <w:rPr>
                <w:noProof/>
                <w:webHidden/>
              </w:rPr>
              <w:tab/>
            </w:r>
            <w:r>
              <w:rPr>
                <w:noProof/>
                <w:webHidden/>
              </w:rPr>
              <w:fldChar w:fldCharType="begin"/>
            </w:r>
            <w:r>
              <w:rPr>
                <w:noProof/>
                <w:webHidden/>
              </w:rPr>
              <w:instrText xml:space="preserve"> PAGEREF _Toc153363308 \h </w:instrText>
            </w:r>
            <w:r>
              <w:rPr>
                <w:noProof/>
                <w:webHidden/>
              </w:rPr>
            </w:r>
            <w:r>
              <w:rPr>
                <w:noProof/>
                <w:webHidden/>
              </w:rPr>
              <w:fldChar w:fldCharType="separate"/>
            </w:r>
            <w:r w:rsidR="00570B02">
              <w:rPr>
                <w:noProof/>
                <w:webHidden/>
              </w:rPr>
              <w:t>13</w:t>
            </w:r>
            <w:r>
              <w:rPr>
                <w:noProof/>
                <w:webHidden/>
              </w:rPr>
              <w:fldChar w:fldCharType="end"/>
            </w:r>
          </w:hyperlink>
        </w:p>
        <w:p w14:paraId="3985C7CE" w14:textId="5D47BE0A" w:rsidR="007C2DA2" w:rsidRDefault="007C2DA2">
          <w:pPr>
            <w:pStyle w:val="TOC2"/>
            <w:rPr>
              <w:rFonts w:asciiTheme="minorHAnsi" w:eastAsiaTheme="minorEastAsia" w:hAnsiTheme="minorHAnsi" w:cstheme="minorBidi"/>
              <w:noProof/>
              <w:kern w:val="2"/>
              <w:lang w:val="en-CA" w:eastAsia="en-CA"/>
              <w14:ligatures w14:val="standardContextual"/>
            </w:rPr>
          </w:pPr>
          <w:hyperlink w:anchor="_Toc153363309" w:history="1">
            <w:r w:rsidRPr="008E0E49">
              <w:rPr>
                <w:rStyle w:val="Hyperlink"/>
                <w:noProof/>
              </w:rPr>
              <w:t>3.</w:t>
            </w:r>
            <w:r>
              <w:rPr>
                <w:rFonts w:asciiTheme="minorHAnsi" w:eastAsiaTheme="minorEastAsia" w:hAnsiTheme="minorHAnsi" w:cstheme="minorBidi"/>
                <w:noProof/>
                <w:kern w:val="2"/>
                <w:lang w:val="en-CA" w:eastAsia="en-CA"/>
                <w14:ligatures w14:val="standardContextual"/>
              </w:rPr>
              <w:tab/>
            </w:r>
            <w:r w:rsidRPr="008E0E49">
              <w:rPr>
                <w:rStyle w:val="Hyperlink"/>
                <w:noProof/>
              </w:rPr>
              <w:t>Reporting Responsibility</w:t>
            </w:r>
            <w:r>
              <w:rPr>
                <w:noProof/>
                <w:webHidden/>
              </w:rPr>
              <w:tab/>
            </w:r>
            <w:r>
              <w:rPr>
                <w:noProof/>
                <w:webHidden/>
              </w:rPr>
              <w:fldChar w:fldCharType="begin"/>
            </w:r>
            <w:r>
              <w:rPr>
                <w:noProof/>
                <w:webHidden/>
              </w:rPr>
              <w:instrText xml:space="preserve"> PAGEREF _Toc153363309 \h </w:instrText>
            </w:r>
            <w:r>
              <w:rPr>
                <w:noProof/>
                <w:webHidden/>
              </w:rPr>
            </w:r>
            <w:r>
              <w:rPr>
                <w:noProof/>
                <w:webHidden/>
              </w:rPr>
              <w:fldChar w:fldCharType="separate"/>
            </w:r>
            <w:r w:rsidR="00570B02">
              <w:rPr>
                <w:noProof/>
                <w:webHidden/>
              </w:rPr>
              <w:t>13</w:t>
            </w:r>
            <w:r>
              <w:rPr>
                <w:noProof/>
                <w:webHidden/>
              </w:rPr>
              <w:fldChar w:fldCharType="end"/>
            </w:r>
          </w:hyperlink>
        </w:p>
        <w:p w14:paraId="5C4EFE6E" w14:textId="08E30296" w:rsidR="007C2DA2" w:rsidRDefault="007C2DA2">
          <w:pPr>
            <w:pStyle w:val="TOC2"/>
            <w:rPr>
              <w:rFonts w:asciiTheme="minorHAnsi" w:eastAsiaTheme="minorEastAsia" w:hAnsiTheme="minorHAnsi" w:cstheme="minorBidi"/>
              <w:noProof/>
              <w:kern w:val="2"/>
              <w:lang w:val="en-CA" w:eastAsia="en-CA"/>
              <w14:ligatures w14:val="standardContextual"/>
            </w:rPr>
          </w:pPr>
          <w:hyperlink w:anchor="_Toc153363310" w:history="1">
            <w:r w:rsidRPr="008E0E49">
              <w:rPr>
                <w:rStyle w:val="Hyperlink"/>
                <w:noProof/>
              </w:rPr>
              <w:t>4.</w:t>
            </w:r>
            <w:r>
              <w:rPr>
                <w:rFonts w:asciiTheme="minorHAnsi" w:eastAsiaTheme="minorEastAsia" w:hAnsiTheme="minorHAnsi" w:cstheme="minorBidi"/>
                <w:noProof/>
                <w:kern w:val="2"/>
                <w:lang w:val="en-CA" w:eastAsia="en-CA"/>
                <w14:ligatures w14:val="standardContextual"/>
              </w:rPr>
              <w:tab/>
            </w:r>
            <w:r w:rsidRPr="008E0E49">
              <w:rPr>
                <w:rStyle w:val="Hyperlink"/>
                <w:noProof/>
              </w:rPr>
              <w:t>Eligible Cost Activities</w:t>
            </w:r>
            <w:r>
              <w:rPr>
                <w:noProof/>
                <w:webHidden/>
              </w:rPr>
              <w:tab/>
            </w:r>
            <w:r>
              <w:rPr>
                <w:noProof/>
                <w:webHidden/>
              </w:rPr>
              <w:fldChar w:fldCharType="begin"/>
            </w:r>
            <w:r>
              <w:rPr>
                <w:noProof/>
                <w:webHidden/>
              </w:rPr>
              <w:instrText xml:space="preserve"> PAGEREF _Toc153363310 \h </w:instrText>
            </w:r>
            <w:r>
              <w:rPr>
                <w:noProof/>
                <w:webHidden/>
              </w:rPr>
            </w:r>
            <w:r>
              <w:rPr>
                <w:noProof/>
                <w:webHidden/>
              </w:rPr>
              <w:fldChar w:fldCharType="separate"/>
            </w:r>
            <w:r w:rsidR="00570B02">
              <w:rPr>
                <w:noProof/>
                <w:webHidden/>
              </w:rPr>
              <w:t>13</w:t>
            </w:r>
            <w:r>
              <w:rPr>
                <w:noProof/>
                <w:webHidden/>
              </w:rPr>
              <w:fldChar w:fldCharType="end"/>
            </w:r>
          </w:hyperlink>
        </w:p>
        <w:p w14:paraId="5D839E92" w14:textId="424F3064" w:rsidR="007C2DA2" w:rsidRDefault="007C2DA2">
          <w:pPr>
            <w:pStyle w:val="TOC2"/>
            <w:rPr>
              <w:rFonts w:asciiTheme="minorHAnsi" w:eastAsiaTheme="minorEastAsia" w:hAnsiTheme="minorHAnsi" w:cstheme="minorBidi"/>
              <w:noProof/>
              <w:kern w:val="2"/>
              <w:lang w:val="en-CA" w:eastAsia="en-CA"/>
              <w14:ligatures w14:val="standardContextual"/>
            </w:rPr>
          </w:pPr>
          <w:hyperlink w:anchor="_Toc153363311" w:history="1">
            <w:r w:rsidRPr="008E0E49">
              <w:rPr>
                <w:rStyle w:val="Hyperlink"/>
                <w:noProof/>
              </w:rPr>
              <w:t>5.</w:t>
            </w:r>
            <w:r>
              <w:rPr>
                <w:rFonts w:asciiTheme="minorHAnsi" w:eastAsiaTheme="minorEastAsia" w:hAnsiTheme="minorHAnsi" w:cstheme="minorBidi"/>
                <w:noProof/>
                <w:kern w:val="2"/>
                <w:lang w:val="en-CA" w:eastAsia="en-CA"/>
                <w14:ligatures w14:val="standardContextual"/>
              </w:rPr>
              <w:tab/>
            </w:r>
            <w:r w:rsidRPr="008E0E49">
              <w:rPr>
                <w:rStyle w:val="Hyperlink"/>
                <w:noProof/>
              </w:rPr>
              <w:t>Eligible Cost Categories</w:t>
            </w:r>
            <w:r>
              <w:rPr>
                <w:noProof/>
                <w:webHidden/>
              </w:rPr>
              <w:tab/>
            </w:r>
            <w:r>
              <w:rPr>
                <w:noProof/>
                <w:webHidden/>
              </w:rPr>
              <w:fldChar w:fldCharType="begin"/>
            </w:r>
            <w:r>
              <w:rPr>
                <w:noProof/>
                <w:webHidden/>
              </w:rPr>
              <w:instrText xml:space="preserve"> PAGEREF _Toc153363311 \h </w:instrText>
            </w:r>
            <w:r>
              <w:rPr>
                <w:noProof/>
                <w:webHidden/>
              </w:rPr>
            </w:r>
            <w:r>
              <w:rPr>
                <w:noProof/>
                <w:webHidden/>
              </w:rPr>
              <w:fldChar w:fldCharType="separate"/>
            </w:r>
            <w:r w:rsidR="00570B02">
              <w:rPr>
                <w:noProof/>
                <w:webHidden/>
              </w:rPr>
              <w:t>14</w:t>
            </w:r>
            <w:r>
              <w:rPr>
                <w:noProof/>
                <w:webHidden/>
              </w:rPr>
              <w:fldChar w:fldCharType="end"/>
            </w:r>
          </w:hyperlink>
        </w:p>
        <w:p w14:paraId="1D67345D" w14:textId="6EE3B685" w:rsidR="007C2DA2" w:rsidRDefault="007C2DA2">
          <w:pPr>
            <w:pStyle w:val="TOC2"/>
            <w:rPr>
              <w:rFonts w:asciiTheme="minorHAnsi" w:eastAsiaTheme="minorEastAsia" w:hAnsiTheme="minorHAnsi" w:cstheme="minorBidi"/>
              <w:noProof/>
              <w:kern w:val="2"/>
              <w:lang w:val="en-CA" w:eastAsia="en-CA"/>
              <w14:ligatures w14:val="standardContextual"/>
            </w:rPr>
          </w:pPr>
          <w:hyperlink w:anchor="_Toc153363312" w:history="1">
            <w:r w:rsidRPr="008E0E49">
              <w:rPr>
                <w:rStyle w:val="Hyperlink"/>
                <w:noProof/>
              </w:rPr>
              <w:t>6.</w:t>
            </w:r>
            <w:r>
              <w:rPr>
                <w:rFonts w:asciiTheme="minorHAnsi" w:eastAsiaTheme="minorEastAsia" w:hAnsiTheme="minorHAnsi" w:cstheme="minorBidi"/>
                <w:noProof/>
                <w:kern w:val="2"/>
                <w:lang w:val="en-CA" w:eastAsia="en-CA"/>
                <w14:ligatures w14:val="standardContextual"/>
              </w:rPr>
              <w:tab/>
            </w:r>
            <w:r w:rsidRPr="008E0E49">
              <w:rPr>
                <w:rStyle w:val="Hyperlink"/>
                <w:noProof/>
              </w:rPr>
              <w:t>Indirect Costs (Overhead)</w:t>
            </w:r>
            <w:r>
              <w:rPr>
                <w:noProof/>
                <w:webHidden/>
              </w:rPr>
              <w:tab/>
            </w:r>
            <w:r>
              <w:rPr>
                <w:noProof/>
                <w:webHidden/>
              </w:rPr>
              <w:fldChar w:fldCharType="begin"/>
            </w:r>
            <w:r>
              <w:rPr>
                <w:noProof/>
                <w:webHidden/>
              </w:rPr>
              <w:instrText xml:space="preserve"> PAGEREF _Toc153363312 \h </w:instrText>
            </w:r>
            <w:r>
              <w:rPr>
                <w:noProof/>
                <w:webHidden/>
              </w:rPr>
            </w:r>
            <w:r>
              <w:rPr>
                <w:noProof/>
                <w:webHidden/>
              </w:rPr>
              <w:fldChar w:fldCharType="separate"/>
            </w:r>
            <w:r w:rsidR="00570B02">
              <w:rPr>
                <w:noProof/>
                <w:webHidden/>
              </w:rPr>
              <w:t>16</w:t>
            </w:r>
            <w:r>
              <w:rPr>
                <w:noProof/>
                <w:webHidden/>
              </w:rPr>
              <w:fldChar w:fldCharType="end"/>
            </w:r>
          </w:hyperlink>
        </w:p>
        <w:p w14:paraId="1B5087CA" w14:textId="5028EC5C" w:rsidR="007C2DA2" w:rsidRDefault="007C2DA2">
          <w:pPr>
            <w:pStyle w:val="TOC2"/>
            <w:rPr>
              <w:rFonts w:asciiTheme="minorHAnsi" w:eastAsiaTheme="minorEastAsia" w:hAnsiTheme="minorHAnsi" w:cstheme="minorBidi"/>
              <w:noProof/>
              <w:kern w:val="2"/>
              <w:lang w:val="en-CA" w:eastAsia="en-CA"/>
              <w14:ligatures w14:val="standardContextual"/>
            </w:rPr>
          </w:pPr>
          <w:hyperlink w:anchor="_Toc153363313" w:history="1">
            <w:r w:rsidRPr="008E0E49">
              <w:rPr>
                <w:rStyle w:val="Hyperlink"/>
                <w:noProof/>
              </w:rPr>
              <w:t>7.</w:t>
            </w:r>
            <w:r>
              <w:rPr>
                <w:rFonts w:asciiTheme="minorHAnsi" w:eastAsiaTheme="minorEastAsia" w:hAnsiTheme="minorHAnsi" w:cstheme="minorBidi"/>
                <w:noProof/>
                <w:kern w:val="2"/>
                <w:lang w:val="en-CA" w:eastAsia="en-CA"/>
                <w14:ligatures w14:val="standardContextual"/>
              </w:rPr>
              <w:tab/>
            </w:r>
            <w:r w:rsidRPr="008E0E49">
              <w:rPr>
                <w:rStyle w:val="Hyperlink"/>
                <w:noProof/>
              </w:rPr>
              <w:t>Ineligible Costs</w:t>
            </w:r>
            <w:r>
              <w:rPr>
                <w:noProof/>
                <w:webHidden/>
              </w:rPr>
              <w:tab/>
            </w:r>
            <w:r>
              <w:rPr>
                <w:noProof/>
                <w:webHidden/>
              </w:rPr>
              <w:fldChar w:fldCharType="begin"/>
            </w:r>
            <w:r>
              <w:rPr>
                <w:noProof/>
                <w:webHidden/>
              </w:rPr>
              <w:instrText xml:space="preserve"> PAGEREF _Toc153363313 \h </w:instrText>
            </w:r>
            <w:r>
              <w:rPr>
                <w:noProof/>
                <w:webHidden/>
              </w:rPr>
            </w:r>
            <w:r>
              <w:rPr>
                <w:noProof/>
                <w:webHidden/>
              </w:rPr>
              <w:fldChar w:fldCharType="separate"/>
            </w:r>
            <w:r w:rsidR="00570B02">
              <w:rPr>
                <w:noProof/>
                <w:webHidden/>
              </w:rPr>
              <w:t>18</w:t>
            </w:r>
            <w:r>
              <w:rPr>
                <w:noProof/>
                <w:webHidden/>
              </w:rPr>
              <w:fldChar w:fldCharType="end"/>
            </w:r>
          </w:hyperlink>
        </w:p>
        <w:p w14:paraId="79D2C0A0" w14:textId="7B76061A" w:rsidR="0046426F" w:rsidRDefault="0046426F" w:rsidP="00602B24">
          <w:r>
            <w:rPr>
              <w:noProof/>
            </w:rPr>
            <w:fldChar w:fldCharType="end"/>
          </w:r>
        </w:p>
      </w:sdtContent>
    </w:sdt>
    <w:p w14:paraId="2534BC5A" w14:textId="77777777" w:rsidR="0046426F" w:rsidRDefault="0046426F" w:rsidP="00602B24">
      <w:r>
        <w:br w:type="page"/>
      </w:r>
    </w:p>
    <w:p w14:paraId="732A96D8" w14:textId="574CAB9C" w:rsidR="0046426F" w:rsidRPr="0046426F" w:rsidRDefault="0046426F" w:rsidP="00602B24">
      <w:pPr>
        <w:pStyle w:val="Heading1"/>
      </w:pPr>
      <w:bookmarkStart w:id="1" w:name="_Toc151100142"/>
      <w:bookmarkStart w:id="2" w:name="_Toc153363286"/>
      <w:r w:rsidRPr="0046426F">
        <w:lastRenderedPageBreak/>
        <w:t>S</w:t>
      </w:r>
      <w:bookmarkEnd w:id="1"/>
      <w:r w:rsidR="00176CF5">
        <w:t>ummary</w:t>
      </w:r>
      <w:bookmarkEnd w:id="2"/>
    </w:p>
    <w:p w14:paraId="2188D0E3" w14:textId="00869606" w:rsidR="00CE2C61" w:rsidRPr="00F47C14" w:rsidRDefault="00CE2C61" w:rsidP="00CE2C61">
      <w:pPr>
        <w:rPr>
          <w:bCs/>
        </w:rPr>
      </w:pPr>
      <w:r w:rsidRPr="00F47C14">
        <w:rPr>
          <w:bCs/>
        </w:rPr>
        <w:t xml:space="preserve">The Canadian Medical Isotope Ecosystem (CMIE) represents a dynamic, nation-wide community that is dedicated to strengthening the Canadian medical isotope sector by providing resources to connect organizations, create new jobs, and </w:t>
      </w:r>
      <w:r w:rsidR="001B0E06" w:rsidRPr="00F47C14">
        <w:rPr>
          <w:bCs/>
        </w:rPr>
        <w:t>throughout</w:t>
      </w:r>
      <w:r w:rsidRPr="00F47C14">
        <w:rPr>
          <w:bCs/>
        </w:rPr>
        <w:t xml:space="preserve"> development fund (CMIEDF), fund next generation medical isotope programs. </w:t>
      </w:r>
    </w:p>
    <w:p w14:paraId="18C262D8" w14:textId="77777777" w:rsidR="00CE2C61" w:rsidRPr="00F47C14" w:rsidRDefault="00CE2C61" w:rsidP="00CE2C61">
      <w:pPr>
        <w:rPr>
          <w:bCs/>
        </w:rPr>
      </w:pPr>
      <w:r w:rsidRPr="00F47C14">
        <w:rPr>
          <w:bCs/>
        </w:rPr>
        <w:t xml:space="preserve">CMIEDF offers financial support to innovators, developers, and academic institutions in Canada, specifically in the field of radiopharmaceuticals and medical isotope technologies. This funding is designed to expedite the progress of early-stage programs, thereby creating a continuous pipeline for development and eventual commercialization. </w:t>
      </w:r>
    </w:p>
    <w:p w14:paraId="7456ABCB" w14:textId="69DEA7EF" w:rsidR="00CE2C61" w:rsidRPr="00F47C14" w:rsidRDefault="00CE2C61" w:rsidP="00CE2C61">
      <w:pPr>
        <w:rPr>
          <w:bCs/>
        </w:rPr>
      </w:pPr>
      <w:r w:rsidRPr="00F47C14">
        <w:rPr>
          <w:bCs/>
        </w:rPr>
        <w:t>CMIEDF has $5 million to dedicate to advancing medical isotope technologies within Canada. Individual project support will range from $</w:t>
      </w:r>
      <w:r w:rsidR="0046055E">
        <w:rPr>
          <w:bCs/>
        </w:rPr>
        <w:t>20</w:t>
      </w:r>
      <w:r w:rsidRPr="00F47C14">
        <w:rPr>
          <w:bCs/>
        </w:rPr>
        <w:t xml:space="preserve">0-500k. CMIEDF will provide </w:t>
      </w:r>
      <w:r w:rsidR="00031266" w:rsidRPr="00F47C14">
        <w:rPr>
          <w:bCs/>
        </w:rPr>
        <w:t>reimbursement</w:t>
      </w:r>
      <w:r w:rsidRPr="00F47C14">
        <w:rPr>
          <w:bCs/>
        </w:rPr>
        <w:t xml:space="preserve"> of up to 50% of eligible project costs when at least 50% of the project is funded by additional sources. Additionally, each project must actively involve at least one small to medium enterprise (SME). </w:t>
      </w:r>
    </w:p>
    <w:p w14:paraId="27A328E8" w14:textId="77777777" w:rsidR="00B96E52" w:rsidRPr="00F47C14" w:rsidRDefault="00B96E52" w:rsidP="00B96E52">
      <w:r w:rsidRPr="00F47C14">
        <w:t>This funding cycle will support radiopharmaceutical and medical isotope technology research programs. We are seeking programs with high impact collaborations that foster business and technology development with enhanced emphasis on commercialization. Eligible programs can be at a Technology Readiness Level (TRL) of 1-9.</w:t>
      </w:r>
    </w:p>
    <w:p w14:paraId="0BF92BEB" w14:textId="7521DEEB" w:rsidR="00810CE6" w:rsidRPr="0046426F" w:rsidRDefault="00150C7E" w:rsidP="00602B24">
      <w:pPr>
        <w:pStyle w:val="Heading1"/>
      </w:pPr>
      <w:bookmarkStart w:id="3" w:name="_Toc153363287"/>
      <w:r>
        <w:t>Glossary of Key Terms</w:t>
      </w:r>
      <w:bookmarkEnd w:id="3"/>
    </w:p>
    <w:p w14:paraId="5B6E7447" w14:textId="25898A72" w:rsidR="00B233B6" w:rsidRPr="00F47C14" w:rsidRDefault="00B233B6" w:rsidP="00B233B6">
      <w:r w:rsidRPr="00F47C14">
        <w:rPr>
          <w:b/>
          <w:bCs/>
        </w:rPr>
        <w:t>Project Lead:</w:t>
      </w:r>
      <w:r w:rsidRPr="00F47C14">
        <w:t xml:space="preserve"> The lead Canadian organization that is applying for this funding request. The Project Lead will be the primary contact for CMIE staff during the application and review process. Should the project be selected for funding, the Project Lead will have the </w:t>
      </w:r>
      <w:r w:rsidR="001B0E06" w:rsidRPr="00F47C14">
        <w:t>responsibility</w:t>
      </w:r>
      <w:r w:rsidRPr="00F47C14">
        <w:t xml:space="preserve"> of coordinating the project, ensuring that project spending is in line with the project budget, and reporting on behalf of all Ultimate Recipients. </w:t>
      </w:r>
    </w:p>
    <w:p w14:paraId="376FB411" w14:textId="4768C455" w:rsidR="00B233B6" w:rsidRPr="00F47C14" w:rsidRDefault="00B233B6" w:rsidP="00B233B6">
      <w:r w:rsidRPr="00F47C14">
        <w:rPr>
          <w:b/>
          <w:bCs/>
        </w:rPr>
        <w:t>Collaborator or Ultimate Recipient:</w:t>
      </w:r>
      <w:r w:rsidRPr="00F47C14">
        <w:t xml:space="preserve"> The Project Lead and the other Canadian organization(s) collaborating on project activities who will receive a part of the CMIE</w:t>
      </w:r>
      <w:r w:rsidR="007B6471">
        <w:t>DF</w:t>
      </w:r>
      <w:r w:rsidRPr="00F47C14">
        <w:t xml:space="preserve"> Contribution (they are known as Collaborators during the application process and Ultimate Recipients after project selection). These include: </w:t>
      </w:r>
    </w:p>
    <w:p w14:paraId="535BB5B5" w14:textId="5E13B605" w:rsidR="00B233B6" w:rsidRPr="00F47C14" w:rsidRDefault="00B233B6" w:rsidP="006E59AE">
      <w:pPr>
        <w:pStyle w:val="ListParagraph"/>
        <w:numPr>
          <w:ilvl w:val="0"/>
          <w:numId w:val="3"/>
        </w:numPr>
        <w:spacing w:after="200" w:line="276" w:lineRule="auto"/>
      </w:pPr>
      <w:r w:rsidRPr="00F47C14">
        <w:rPr>
          <w:b/>
          <w:bCs/>
        </w:rPr>
        <w:t>Academic Collaborators:</w:t>
      </w:r>
      <w:r w:rsidRPr="00F47C14">
        <w:t xml:space="preserve"> Universities, colleges and </w:t>
      </w:r>
      <w:r w:rsidR="001B0E06" w:rsidRPr="00F47C14">
        <w:t>publicly assisted</w:t>
      </w:r>
      <w:r w:rsidRPr="00F47C14">
        <w:t xml:space="preserve"> postsecondary institutions located in Canada which grant degrees or diplomas and Academic Affiliated Institutions, </w:t>
      </w:r>
      <w:r>
        <w:t xml:space="preserve">or </w:t>
      </w:r>
      <w:r w:rsidRPr="00F47C14">
        <w:t xml:space="preserve">research institutions wholly owned or controlled by a Canadian university. </w:t>
      </w:r>
    </w:p>
    <w:p w14:paraId="0056D02D" w14:textId="42EF6C3A" w:rsidR="00B233B6" w:rsidRPr="00F47C14" w:rsidRDefault="00B233B6" w:rsidP="006E59AE">
      <w:pPr>
        <w:pStyle w:val="ListParagraph"/>
        <w:numPr>
          <w:ilvl w:val="0"/>
          <w:numId w:val="3"/>
        </w:numPr>
        <w:spacing w:after="200" w:line="276" w:lineRule="auto"/>
      </w:pPr>
      <w:r w:rsidRPr="00F47C14">
        <w:rPr>
          <w:b/>
          <w:bCs/>
        </w:rPr>
        <w:t>Industry Collaborators:</w:t>
      </w:r>
      <w:r w:rsidRPr="00F47C14">
        <w:t xml:space="preserve"> Corporations, including not-for-profit organizations, </w:t>
      </w:r>
      <w:r w:rsidR="009116E2" w:rsidRPr="00F47C14">
        <w:t>incorporated,</w:t>
      </w:r>
      <w:r w:rsidRPr="00F47C14">
        <w:t xml:space="preserve"> and operating in Canada or any province or territory of Canada that are not Academic Collaborators. </w:t>
      </w:r>
    </w:p>
    <w:p w14:paraId="1D7D05A6" w14:textId="77777777" w:rsidR="00B233B6" w:rsidRPr="00F47C14" w:rsidRDefault="00B233B6" w:rsidP="00B233B6">
      <w:r w:rsidRPr="00F47C14">
        <w:rPr>
          <w:b/>
          <w:bCs/>
        </w:rPr>
        <w:t>Small and Medium Enterprise (SME):</w:t>
      </w:r>
      <w:r w:rsidRPr="00F47C14">
        <w:t xml:space="preserve"> A corporation employing fewer than 500 paid employees. </w:t>
      </w:r>
    </w:p>
    <w:p w14:paraId="604E66BA" w14:textId="2ABE0185" w:rsidR="00B233B6" w:rsidRPr="00F47C14" w:rsidRDefault="00B233B6" w:rsidP="00B233B6">
      <w:r w:rsidRPr="00F47C14">
        <w:rPr>
          <w:b/>
          <w:bCs/>
        </w:rPr>
        <w:t>Multinational Enterprise (MNE):</w:t>
      </w:r>
      <w:r w:rsidRPr="00F47C14">
        <w:t xml:space="preserve"> Any large-sized </w:t>
      </w:r>
      <w:r w:rsidR="001B0E06" w:rsidRPr="00F47C14">
        <w:t>enterprise</w:t>
      </w:r>
      <w:r w:rsidRPr="00F47C14">
        <w:t xml:space="preserve"> with 500 or more paid employees. </w:t>
      </w:r>
    </w:p>
    <w:p w14:paraId="3AC7E95A" w14:textId="2A7E8374" w:rsidR="00B233B6" w:rsidRPr="00F47C14" w:rsidRDefault="00B233B6" w:rsidP="00B233B6">
      <w:r w:rsidRPr="00F47C14">
        <w:rPr>
          <w:b/>
          <w:bCs/>
        </w:rPr>
        <w:t>Total Eligible Supported Costs:</w:t>
      </w:r>
      <w:r w:rsidRPr="00F47C14">
        <w:t xml:space="preserve"> The costs of project expenditures that are eligible </w:t>
      </w:r>
      <w:proofErr w:type="gramStart"/>
      <w:r w:rsidRPr="00F47C14">
        <w:t>supported</w:t>
      </w:r>
      <w:proofErr w:type="gramEnd"/>
      <w:r w:rsidRPr="00F47C14">
        <w:t xml:space="preserve"> direct or indirect costs, per S</w:t>
      </w:r>
      <w:r w:rsidR="005C1B48">
        <w:t>trategic Innovation Fund (S</w:t>
      </w:r>
      <w:r w:rsidRPr="00F47C14">
        <w:t>IF</w:t>
      </w:r>
      <w:r w:rsidR="005C1B48">
        <w:t>)</w:t>
      </w:r>
      <w:r w:rsidRPr="00F47C14">
        <w:t xml:space="preserve"> Cost Principles. </w:t>
      </w:r>
    </w:p>
    <w:p w14:paraId="224FFE3C" w14:textId="3D94066D" w:rsidR="00B233B6" w:rsidRPr="00F47C14" w:rsidRDefault="00B233B6" w:rsidP="00B233B6">
      <w:r w:rsidRPr="00F47C14">
        <w:rPr>
          <w:b/>
          <w:bCs/>
        </w:rPr>
        <w:lastRenderedPageBreak/>
        <w:t>CMIE</w:t>
      </w:r>
      <w:r w:rsidR="005C1B48">
        <w:rPr>
          <w:b/>
          <w:bCs/>
        </w:rPr>
        <w:t>DF</w:t>
      </w:r>
      <w:r w:rsidRPr="00F47C14">
        <w:rPr>
          <w:b/>
          <w:bCs/>
        </w:rPr>
        <w:t xml:space="preserve"> Contributions:</w:t>
      </w:r>
      <w:r w:rsidRPr="00F47C14">
        <w:t xml:space="preserve"> The portion of the Total Eligible Supported Costs that will be reimbursed to Ultimate Recipients by </w:t>
      </w:r>
      <w:r w:rsidR="005C1B48">
        <w:t xml:space="preserve">the </w:t>
      </w:r>
      <w:r w:rsidRPr="00F47C14">
        <w:t xml:space="preserve">CMIE. </w:t>
      </w:r>
    </w:p>
    <w:p w14:paraId="71D903C8" w14:textId="6433308C" w:rsidR="00B233B6" w:rsidRPr="00F47C14" w:rsidRDefault="00B233B6" w:rsidP="00B233B6">
      <w:r w:rsidRPr="00F47C14">
        <w:rPr>
          <w:b/>
          <w:bCs/>
        </w:rPr>
        <w:t>Contribution Ratio:</w:t>
      </w:r>
      <w:r w:rsidRPr="00F47C14">
        <w:t xml:space="preserve"> The Contribution Ratio indicates the percentage of Total Eligible Supported Costs will be reimbursed through CMIE</w:t>
      </w:r>
      <w:r w:rsidR="005C1B48">
        <w:t>DF</w:t>
      </w:r>
      <w:r w:rsidRPr="00F47C14">
        <w:t xml:space="preserve"> Contributions. </w:t>
      </w:r>
    </w:p>
    <w:p w14:paraId="479DD351" w14:textId="61D216E2" w:rsidR="0046426F" w:rsidRDefault="00B233B6" w:rsidP="00602B24">
      <w:r w:rsidRPr="00F47C14">
        <w:rPr>
          <w:b/>
          <w:bCs/>
        </w:rPr>
        <w:t>Technology Readiness Level (TRL):</w:t>
      </w:r>
      <w:r w:rsidRPr="00F47C14">
        <w:t xml:space="preserve"> A measure of technology readiness according to the scale in </w:t>
      </w:r>
      <w:r w:rsidR="008B03D0">
        <w:t>Appendix</w:t>
      </w:r>
      <w:r w:rsidRPr="00F47C14">
        <w:t xml:space="preserve"> </w:t>
      </w:r>
      <w:r w:rsidR="008B03D0">
        <w:t>A</w:t>
      </w:r>
      <w:r w:rsidRPr="00F47C14">
        <w:t>.</w:t>
      </w:r>
    </w:p>
    <w:p w14:paraId="43668105" w14:textId="77777777" w:rsidR="00B0769D" w:rsidRDefault="00B0769D" w:rsidP="00602B24"/>
    <w:p w14:paraId="0CC0B3B4" w14:textId="3778339A" w:rsidR="0046426F" w:rsidRDefault="008C15B7" w:rsidP="00602B24">
      <w:pPr>
        <w:pStyle w:val="Heading1"/>
      </w:pPr>
      <w:bookmarkStart w:id="4" w:name="_Toc153363288"/>
      <w:r>
        <w:t>Eligibility and Project Requirements</w:t>
      </w:r>
      <w:bookmarkEnd w:id="4"/>
    </w:p>
    <w:p w14:paraId="57BABBBC" w14:textId="4D643753" w:rsidR="0046426F" w:rsidRPr="0006259D" w:rsidRDefault="00796C65" w:rsidP="00796C65">
      <w:pPr>
        <w:pStyle w:val="Heading2"/>
      </w:pPr>
      <w:bookmarkStart w:id="5" w:name="_Toc153363289"/>
      <w:r>
        <w:t>Basic Eligibility Requirements</w:t>
      </w:r>
      <w:bookmarkEnd w:id="5"/>
    </w:p>
    <w:p w14:paraId="55D1F114" w14:textId="61FFEF55" w:rsidR="00401161" w:rsidRPr="00F47C14" w:rsidRDefault="00401161" w:rsidP="00401161">
      <w:r w:rsidRPr="00F47C14">
        <w:t>Applications submitted to the CMIE</w:t>
      </w:r>
      <w:r w:rsidR="00874757">
        <w:t>DF</w:t>
      </w:r>
      <w:r w:rsidRPr="00F47C14">
        <w:t xml:space="preserve"> must: </w:t>
      </w:r>
    </w:p>
    <w:p w14:paraId="721A6979" w14:textId="77777777" w:rsidR="00401161" w:rsidRPr="00F47C14" w:rsidRDefault="00401161" w:rsidP="006E59AE">
      <w:pPr>
        <w:pStyle w:val="ListParagraph"/>
        <w:numPr>
          <w:ilvl w:val="0"/>
          <w:numId w:val="4"/>
        </w:numPr>
        <w:spacing w:after="200" w:line="276" w:lineRule="auto"/>
      </w:pPr>
      <w:r w:rsidRPr="00F47C14">
        <w:t>Propose a project within the medial isotope sector.</w:t>
      </w:r>
    </w:p>
    <w:p w14:paraId="7A4D45A8" w14:textId="77777777" w:rsidR="00401161" w:rsidRPr="00F47C14" w:rsidRDefault="00401161" w:rsidP="006E59AE">
      <w:pPr>
        <w:pStyle w:val="ListParagraph"/>
        <w:numPr>
          <w:ilvl w:val="0"/>
          <w:numId w:val="4"/>
        </w:numPr>
        <w:spacing w:after="200" w:line="276" w:lineRule="auto"/>
      </w:pPr>
      <w:r w:rsidRPr="00F47C14">
        <w:t xml:space="preserve">Involve a minimum of one (1) SME as an Ultimate Recipient on each Eligible Project. </w:t>
      </w:r>
    </w:p>
    <w:p w14:paraId="0176443B" w14:textId="77777777" w:rsidR="00401161" w:rsidRPr="00F47C14" w:rsidRDefault="00401161" w:rsidP="006E59AE">
      <w:pPr>
        <w:pStyle w:val="ListParagraph"/>
        <w:numPr>
          <w:ilvl w:val="0"/>
          <w:numId w:val="4"/>
        </w:numPr>
        <w:spacing w:after="200" w:line="276" w:lineRule="auto"/>
      </w:pPr>
      <w:r w:rsidRPr="00F47C14">
        <w:t>Include collaborators that have the financial capacity to carry out their Eligible Projects.</w:t>
      </w:r>
    </w:p>
    <w:p w14:paraId="31244B33" w14:textId="71751C7A" w:rsidR="00401161" w:rsidRPr="00F47C14" w:rsidRDefault="00401161" w:rsidP="006E59AE">
      <w:pPr>
        <w:pStyle w:val="ListParagraph"/>
        <w:numPr>
          <w:ilvl w:val="0"/>
          <w:numId w:val="4"/>
        </w:numPr>
        <w:spacing w:after="200" w:line="276" w:lineRule="auto"/>
      </w:pPr>
      <w:r w:rsidRPr="00F47C14">
        <w:t>Request at least $</w:t>
      </w:r>
      <w:r w:rsidR="00960E4F">
        <w:t>20</w:t>
      </w:r>
      <w:r w:rsidRPr="00F47C14">
        <w:t>0,000, but no more than $500,000 from the CMIE</w:t>
      </w:r>
      <w:r w:rsidR="00874757">
        <w:t>DF</w:t>
      </w:r>
      <w:r w:rsidRPr="00F47C14">
        <w:t>.</w:t>
      </w:r>
    </w:p>
    <w:p w14:paraId="5865AD1B" w14:textId="77777777" w:rsidR="00401161" w:rsidRDefault="00401161" w:rsidP="006E59AE">
      <w:pPr>
        <w:pStyle w:val="ListParagraph"/>
        <w:numPr>
          <w:ilvl w:val="0"/>
          <w:numId w:val="4"/>
        </w:numPr>
        <w:spacing w:after="200" w:line="276" w:lineRule="auto"/>
      </w:pPr>
      <w:r w:rsidRPr="00F47C14">
        <w:t>Propose a project with a minimum of 90% of activities being carried out in Canada.</w:t>
      </w:r>
    </w:p>
    <w:p w14:paraId="26B74E5E" w14:textId="07A2A5A1" w:rsidR="0046426F" w:rsidRPr="0046426F" w:rsidRDefault="003A3CEB" w:rsidP="003A3CEB">
      <w:pPr>
        <w:pStyle w:val="Heading2"/>
      </w:pPr>
      <w:bookmarkStart w:id="6" w:name="_Toc153363290"/>
      <w:r>
        <w:t>Additional Project Aspects</w:t>
      </w:r>
      <w:bookmarkEnd w:id="6"/>
    </w:p>
    <w:p w14:paraId="28648B1C" w14:textId="77777777" w:rsidR="009C4B27" w:rsidRPr="00F47C14" w:rsidRDefault="009C4B27" w:rsidP="009C4B27">
      <w:r w:rsidRPr="00F47C14">
        <w:t xml:space="preserve">Projects should include: </w:t>
      </w:r>
    </w:p>
    <w:p w14:paraId="343981CC" w14:textId="77777777" w:rsidR="009C4B27" w:rsidRPr="00F47C14" w:rsidRDefault="009C4B27" w:rsidP="006E59AE">
      <w:pPr>
        <w:pStyle w:val="ListParagraph"/>
        <w:numPr>
          <w:ilvl w:val="0"/>
          <w:numId w:val="5"/>
        </w:numPr>
        <w:spacing w:after="200" w:line="276" w:lineRule="auto"/>
      </w:pPr>
      <w:r w:rsidRPr="00F47C14">
        <w:t>Strong engagement and commitment from all collaborators.</w:t>
      </w:r>
    </w:p>
    <w:p w14:paraId="1D3533AC" w14:textId="77777777" w:rsidR="009C4B27" w:rsidRPr="00F47C14" w:rsidRDefault="009C4B27" w:rsidP="006E59AE">
      <w:pPr>
        <w:pStyle w:val="ListParagraph"/>
        <w:numPr>
          <w:ilvl w:val="0"/>
          <w:numId w:val="5"/>
        </w:numPr>
        <w:spacing w:after="200" w:line="276" w:lineRule="auto"/>
      </w:pPr>
      <w:r w:rsidRPr="00F47C14">
        <w:t xml:space="preserve">Potential for commercial impact and a path toward commercialization. </w:t>
      </w:r>
    </w:p>
    <w:p w14:paraId="1D0C08AE" w14:textId="5B6077F2" w:rsidR="009C4B27" w:rsidRPr="00F47C14" w:rsidRDefault="009C4B27" w:rsidP="006E59AE">
      <w:pPr>
        <w:pStyle w:val="ListParagraph"/>
        <w:numPr>
          <w:ilvl w:val="0"/>
          <w:numId w:val="5"/>
        </w:numPr>
        <w:spacing w:after="200" w:line="276" w:lineRule="auto"/>
      </w:pPr>
      <w:r w:rsidRPr="00F47C14">
        <w:t>Potential to benefit the Canadian medical isotope</w:t>
      </w:r>
      <w:r w:rsidR="00DB268F">
        <w:t xml:space="preserve"> sector</w:t>
      </w:r>
      <w:r w:rsidRPr="00F47C14">
        <w:t xml:space="preserve"> and other sectors. </w:t>
      </w:r>
    </w:p>
    <w:p w14:paraId="71B5C1B7" w14:textId="77777777" w:rsidR="009C4B27" w:rsidRPr="00F47C14" w:rsidRDefault="009C4B27" w:rsidP="009C4B27">
      <w:r w:rsidRPr="00F47C14">
        <w:t xml:space="preserve">Additional considerations will be given to projects that: </w:t>
      </w:r>
    </w:p>
    <w:p w14:paraId="64D586C2" w14:textId="77777777" w:rsidR="009C4B27" w:rsidRPr="00F47C14" w:rsidRDefault="009C4B27" w:rsidP="006E59AE">
      <w:pPr>
        <w:pStyle w:val="ListParagraph"/>
        <w:numPr>
          <w:ilvl w:val="0"/>
          <w:numId w:val="6"/>
        </w:numPr>
        <w:spacing w:after="200" w:line="276" w:lineRule="auto"/>
      </w:pPr>
      <w:r w:rsidRPr="00F47C14">
        <w:t>Have the potential to improve the representation of underrepresented and equity-seeking groups in the medical isotope sector.</w:t>
      </w:r>
    </w:p>
    <w:p w14:paraId="6E9FB54A" w14:textId="77777777" w:rsidR="009C4B27" w:rsidRPr="00F47C14" w:rsidRDefault="009C4B27" w:rsidP="006E59AE">
      <w:pPr>
        <w:pStyle w:val="ListParagraph"/>
        <w:numPr>
          <w:ilvl w:val="0"/>
          <w:numId w:val="6"/>
        </w:numPr>
        <w:spacing w:after="200" w:line="276" w:lineRule="auto"/>
      </w:pPr>
      <w:r w:rsidRPr="00F47C14">
        <w:t xml:space="preserve">Attract, retain, and provide training to highly qualified personnel in the medical isotope sector. </w:t>
      </w:r>
    </w:p>
    <w:p w14:paraId="5AAFAF55" w14:textId="2ED6796B" w:rsidR="0006259D" w:rsidRDefault="009C4B27" w:rsidP="006E59AE">
      <w:pPr>
        <w:pStyle w:val="ListParagraph"/>
        <w:numPr>
          <w:ilvl w:val="0"/>
          <w:numId w:val="6"/>
        </w:numPr>
        <w:spacing w:after="200" w:line="276" w:lineRule="auto"/>
      </w:pPr>
      <w:r w:rsidRPr="00F47C14">
        <w:t>Include Ultimate Recipients or collaborators in provinces or territories outside of Ontario and British Columbia</w:t>
      </w:r>
      <w:r>
        <w:t>.</w:t>
      </w:r>
      <w:r w:rsidR="0006259D">
        <w:br w:type="page"/>
      </w:r>
    </w:p>
    <w:p w14:paraId="20E63542" w14:textId="5487EF15" w:rsidR="00BC08C0" w:rsidRDefault="003F1E8F" w:rsidP="00BC08C0">
      <w:pPr>
        <w:pStyle w:val="Heading1"/>
      </w:pPr>
      <w:bookmarkStart w:id="7" w:name="_Toc153363291"/>
      <w:r>
        <w:lastRenderedPageBreak/>
        <w:t>Funding Mechanism and Eligible Project Costs</w:t>
      </w:r>
      <w:bookmarkEnd w:id="7"/>
    </w:p>
    <w:p w14:paraId="4DF36DF7" w14:textId="7E640C16" w:rsidR="00884968" w:rsidRDefault="00884968" w:rsidP="00884968">
      <w:pPr>
        <w:spacing w:after="160" w:line="259" w:lineRule="auto"/>
      </w:pPr>
      <w:r w:rsidRPr="00083F82">
        <w:t>The CMIEDF program is a reimbursement fund, not a disbursement fund. On a quarterly basis, recipients will submit a progress report and th</w:t>
      </w:r>
      <w:r>
        <w:t>e</w:t>
      </w:r>
      <w:r w:rsidRPr="00083F82">
        <w:t xml:space="preserve">ir eligible refundable claims. Subject to review by the CMIE and the </w:t>
      </w:r>
      <w:r>
        <w:t>Minister</w:t>
      </w:r>
      <w:r w:rsidRPr="00083F82">
        <w:t>, funds should be forwarded to the recipient about 60-</w:t>
      </w:r>
      <w:bookmarkStart w:id="8" w:name="_Int_fLTI06YT"/>
      <w:r w:rsidRPr="00083F82">
        <w:t>90 days</w:t>
      </w:r>
      <w:bookmarkEnd w:id="8"/>
      <w:r w:rsidRPr="00083F82">
        <w:t xml:space="preserve"> after the claims are submitted subject to questions from the Minister.</w:t>
      </w:r>
    </w:p>
    <w:p w14:paraId="6A6EA45B" w14:textId="67EF3D73" w:rsidR="00884968" w:rsidRDefault="00884968" w:rsidP="00884968">
      <w:pPr>
        <w:spacing w:after="160" w:line="259" w:lineRule="auto"/>
      </w:pPr>
      <w:r w:rsidRPr="00083F82">
        <w:t xml:space="preserve">Eligible project costs must be reasonable and related to eligible project activities. Project costs must only include actual expenses that are incurred and traceable. In-kind services are not considered an eligible expense. </w:t>
      </w:r>
    </w:p>
    <w:p w14:paraId="49D40B6B" w14:textId="54EB0CFA" w:rsidR="00BC08C0" w:rsidRPr="00F102AB" w:rsidRDefault="00CD3FA5" w:rsidP="006E59AE">
      <w:pPr>
        <w:pStyle w:val="Heading2"/>
        <w:numPr>
          <w:ilvl w:val="0"/>
          <w:numId w:val="13"/>
        </w:numPr>
      </w:pPr>
      <w:bookmarkStart w:id="9" w:name="_Toc153363292"/>
      <w:r w:rsidRPr="00F102AB">
        <w:t>Eligible Cost Categories</w:t>
      </w:r>
      <w:bookmarkEnd w:id="9"/>
    </w:p>
    <w:p w14:paraId="45C34479" w14:textId="2DA17D96" w:rsidR="00CD3FA5" w:rsidRPr="00F102AB" w:rsidRDefault="00CD3FA5" w:rsidP="00F618CB">
      <w:pPr>
        <w:rPr>
          <w:rStyle w:val="eop"/>
        </w:rPr>
      </w:pPr>
      <w:r w:rsidRPr="00F102AB">
        <w:rPr>
          <w:rStyle w:val="normaltextrun"/>
        </w:rPr>
        <w:t xml:space="preserve">For full details on eligible costs, see Appendix </w:t>
      </w:r>
      <w:r w:rsidR="008B03D0">
        <w:rPr>
          <w:rStyle w:val="normaltextrun"/>
        </w:rPr>
        <w:t>B</w:t>
      </w:r>
      <w:r w:rsidRPr="00F102AB">
        <w:rPr>
          <w:rStyle w:val="normaltextrun"/>
        </w:rPr>
        <w:t xml:space="preserve">: Project Cost Principles. All costs should be reported prior to the addition of sales tax, as sales tax is an ineligible expense. </w:t>
      </w:r>
    </w:p>
    <w:p w14:paraId="60C781F6" w14:textId="6A8E25E7" w:rsidR="00CD3FA5" w:rsidRPr="00CD3FA5" w:rsidRDefault="00CD3FA5" w:rsidP="00E034B9">
      <w:r w:rsidRPr="00F102AB">
        <w:rPr>
          <w:rStyle w:val="eop"/>
        </w:rPr>
        <w:t>Eligible cost categories may include the following:</w:t>
      </w:r>
      <w:r w:rsidRPr="00F47C14">
        <w:rPr>
          <w:rStyle w:val="eop"/>
        </w:rPr>
        <w:t xml:space="preserve"> </w:t>
      </w:r>
    </w:p>
    <w:p w14:paraId="62A09CFA" w14:textId="2B32648D" w:rsidR="00BC181F" w:rsidRPr="00045070" w:rsidRDefault="00BC08C0" w:rsidP="008044BB">
      <w:pPr>
        <w:pStyle w:val="Heading3"/>
        <w:rPr>
          <w:rStyle w:val="normaltextrun"/>
        </w:rPr>
      </w:pPr>
      <w:bookmarkStart w:id="10" w:name="_Toc153363293"/>
      <w:r>
        <w:t>D</w:t>
      </w:r>
      <w:r w:rsidR="00045070">
        <w:t xml:space="preserve">irect </w:t>
      </w:r>
      <w:r w:rsidR="00045070" w:rsidRPr="008044BB">
        <w:t>Labour</w:t>
      </w:r>
      <w:bookmarkEnd w:id="10"/>
    </w:p>
    <w:p w14:paraId="46B2FEAF" w14:textId="77777777" w:rsidR="00BC181F" w:rsidRPr="00165B34" w:rsidRDefault="00BC181F" w:rsidP="006E59AE">
      <w:pPr>
        <w:pStyle w:val="paragraph"/>
        <w:numPr>
          <w:ilvl w:val="1"/>
          <w:numId w:val="7"/>
        </w:numPr>
        <w:spacing w:before="0" w:beforeAutospacing="0" w:after="0" w:afterAutospacing="0"/>
        <w:textAlignment w:val="baseline"/>
        <w:rPr>
          <w:rStyle w:val="normaltextrun"/>
          <w:rFonts w:ascii="Arial" w:hAnsi="Arial" w:cs="Arial"/>
        </w:rPr>
      </w:pPr>
      <w:r w:rsidRPr="00165B34">
        <w:rPr>
          <w:rStyle w:val="normaltextrun"/>
          <w:rFonts w:ascii="Arial" w:hAnsi="Arial" w:cs="Arial"/>
          <w:lang w:val="en-US"/>
        </w:rPr>
        <w:t xml:space="preserve">The portion of gross wages or salaries incurred and paid by the Ultimate Recipient(s)’s for eligible project activities. </w:t>
      </w:r>
    </w:p>
    <w:p w14:paraId="5BE14D93" w14:textId="77777777" w:rsidR="00BC181F" w:rsidRPr="00F47C14" w:rsidRDefault="00BC181F" w:rsidP="006E59AE">
      <w:pPr>
        <w:pStyle w:val="paragraph"/>
        <w:numPr>
          <w:ilvl w:val="1"/>
          <w:numId w:val="7"/>
        </w:numPr>
        <w:spacing w:before="0" w:beforeAutospacing="0" w:after="0" w:afterAutospacing="0"/>
        <w:textAlignment w:val="baseline"/>
        <w:rPr>
          <w:rStyle w:val="normaltextrun"/>
          <w:rFonts w:ascii="Arial" w:hAnsi="Arial" w:cs="Arial"/>
        </w:rPr>
      </w:pPr>
      <w:r w:rsidRPr="00F47C14">
        <w:rPr>
          <w:rStyle w:val="normaltextrun"/>
          <w:rFonts w:ascii="Arial" w:hAnsi="Arial" w:cs="Arial"/>
          <w:lang w:val="en-US"/>
        </w:rPr>
        <w:t>Timesheets are required to</w:t>
      </w:r>
      <w:r w:rsidRPr="00F47C14">
        <w:rPr>
          <w:rStyle w:val="normaltextrun"/>
          <w:rFonts w:ascii="Arial" w:hAnsi="Arial" w:cs="Arial"/>
          <w:b/>
          <w:bCs/>
          <w:lang w:val="en-US"/>
        </w:rPr>
        <w:t xml:space="preserve"> </w:t>
      </w:r>
      <w:r w:rsidRPr="00F47C14">
        <w:rPr>
          <w:rStyle w:val="normaltextrun"/>
          <w:rFonts w:ascii="Arial" w:hAnsi="Arial" w:cs="Arial"/>
          <w:lang w:val="en-US"/>
        </w:rPr>
        <w:t>measure employees’ hours spent performing project activities.</w:t>
      </w:r>
    </w:p>
    <w:p w14:paraId="6D69DD9C" w14:textId="77777777" w:rsidR="00BC181F" w:rsidRPr="00F47C14" w:rsidRDefault="00BC181F" w:rsidP="006E59AE">
      <w:pPr>
        <w:pStyle w:val="paragraph"/>
        <w:numPr>
          <w:ilvl w:val="1"/>
          <w:numId w:val="7"/>
        </w:numPr>
        <w:spacing w:before="0" w:beforeAutospacing="0" w:after="0" w:afterAutospacing="0"/>
        <w:textAlignment w:val="baseline"/>
        <w:rPr>
          <w:rFonts w:ascii="Arial" w:hAnsi="Arial" w:cs="Arial"/>
        </w:rPr>
      </w:pPr>
      <w:r w:rsidRPr="00F47C14">
        <w:rPr>
          <w:rFonts w:ascii="Arial" w:hAnsi="Arial" w:cs="Arial"/>
        </w:rPr>
        <w:t>Costs related to the preparation of this application are not eligible to be claimed.</w:t>
      </w:r>
    </w:p>
    <w:p w14:paraId="1167A861" w14:textId="77777777" w:rsidR="00BC181F" w:rsidRPr="00F54EA0" w:rsidRDefault="00BC181F" w:rsidP="006E59AE">
      <w:pPr>
        <w:pStyle w:val="paragraph"/>
        <w:numPr>
          <w:ilvl w:val="1"/>
          <w:numId w:val="7"/>
        </w:numPr>
        <w:spacing w:before="0" w:beforeAutospacing="0" w:after="0" w:afterAutospacing="0"/>
        <w:textAlignment w:val="baseline"/>
        <w:rPr>
          <w:rFonts w:ascii="Arial" w:hAnsi="Arial" w:cs="Arial"/>
        </w:rPr>
      </w:pPr>
      <w:r w:rsidRPr="00F47C14">
        <w:rPr>
          <w:rFonts w:ascii="Arial" w:hAnsi="Arial" w:cs="Arial"/>
        </w:rPr>
        <w:t>Costs related to administration, including but not limited to the preparation of reports, financial documentation, and claim forms are accounted for as part of Indirect Costs (Overhead) and not Direct Labour.</w:t>
      </w:r>
    </w:p>
    <w:p w14:paraId="50B34AB5" w14:textId="77777777" w:rsidR="00BC181F" w:rsidRPr="00F47C14" w:rsidRDefault="00BC181F" w:rsidP="00BC181F">
      <w:pPr>
        <w:pStyle w:val="paragraph"/>
        <w:spacing w:before="0" w:beforeAutospacing="0" w:after="0" w:afterAutospacing="0"/>
        <w:ind w:left="420" w:hanging="420"/>
        <w:textAlignment w:val="baseline"/>
        <w:rPr>
          <w:rFonts w:ascii="Arial" w:hAnsi="Arial" w:cs="Arial"/>
        </w:rPr>
      </w:pPr>
      <w:r w:rsidRPr="00F47C14">
        <w:rPr>
          <w:rStyle w:val="eop"/>
          <w:rFonts w:ascii="Arial" w:hAnsi="Arial" w:cs="Arial"/>
        </w:rPr>
        <w:t> </w:t>
      </w:r>
    </w:p>
    <w:p w14:paraId="0945E7CF" w14:textId="61384D5C" w:rsidR="00BC181F" w:rsidRPr="00B83923" w:rsidRDefault="00165B34" w:rsidP="008044BB">
      <w:pPr>
        <w:pStyle w:val="Heading3"/>
        <w:rPr>
          <w:rStyle w:val="normaltextrun"/>
        </w:rPr>
      </w:pPr>
      <w:bookmarkStart w:id="11" w:name="_Toc153363294"/>
      <w:r w:rsidRPr="008044BB">
        <w:rPr>
          <w:rStyle w:val="normaltextrun"/>
        </w:rPr>
        <w:t>Subcontractors</w:t>
      </w:r>
      <w:r w:rsidRPr="00B83923">
        <w:rPr>
          <w:rStyle w:val="normaltextrun"/>
        </w:rPr>
        <w:t xml:space="preserve"> and </w:t>
      </w:r>
      <w:r w:rsidRPr="00623338">
        <w:rPr>
          <w:rStyle w:val="normaltextrun"/>
        </w:rPr>
        <w:t>Consultants</w:t>
      </w:r>
      <w:r w:rsidRPr="00B83923">
        <w:rPr>
          <w:rStyle w:val="normaltextrun"/>
        </w:rPr>
        <w:t>:</w:t>
      </w:r>
      <w:bookmarkEnd w:id="11"/>
    </w:p>
    <w:p w14:paraId="61672294" w14:textId="77777777" w:rsidR="005713D6" w:rsidRDefault="00BC181F" w:rsidP="006E59AE">
      <w:pPr>
        <w:pStyle w:val="paragraph"/>
        <w:numPr>
          <w:ilvl w:val="0"/>
          <w:numId w:val="8"/>
        </w:numPr>
        <w:spacing w:before="0" w:beforeAutospacing="0" w:after="0" w:afterAutospacing="0"/>
        <w:textAlignment w:val="baseline"/>
        <w:rPr>
          <w:rStyle w:val="normaltextrun"/>
          <w:rFonts w:ascii="Arial" w:hAnsi="Arial" w:cs="Arial"/>
        </w:rPr>
      </w:pPr>
      <w:r w:rsidRPr="00F47C14">
        <w:rPr>
          <w:rStyle w:val="normaltextrun"/>
          <w:rFonts w:ascii="Arial" w:hAnsi="Arial" w:cs="Arial"/>
          <w:lang w:val="en-US"/>
        </w:rPr>
        <w:t xml:space="preserve">Costs of subcontracts or consultants incurred and paid for by Ultimate Recipients for project activities. </w:t>
      </w:r>
    </w:p>
    <w:p w14:paraId="360A9B66" w14:textId="67DE9781" w:rsidR="00BC181F" w:rsidRPr="005713D6" w:rsidRDefault="00BC181F" w:rsidP="006E59AE">
      <w:pPr>
        <w:pStyle w:val="paragraph"/>
        <w:numPr>
          <w:ilvl w:val="0"/>
          <w:numId w:val="8"/>
        </w:numPr>
        <w:spacing w:before="0" w:beforeAutospacing="0" w:after="0" w:afterAutospacing="0"/>
        <w:textAlignment w:val="baseline"/>
        <w:rPr>
          <w:rFonts w:ascii="Arial" w:hAnsi="Arial" w:cs="Arial"/>
        </w:rPr>
      </w:pPr>
      <w:r w:rsidRPr="005713D6">
        <w:rPr>
          <w:rStyle w:val="normaltextrun"/>
          <w:rFonts w:ascii="Arial" w:hAnsi="Arial" w:cs="Arial"/>
          <w:lang w:val="en-US"/>
        </w:rPr>
        <w:t>The Ultimate Recipient(s) cannot be a Recipient and a Subcontractor on the same Eligible Project.   </w:t>
      </w:r>
      <w:r w:rsidRPr="005713D6">
        <w:rPr>
          <w:rStyle w:val="eop"/>
          <w:rFonts w:ascii="Arial" w:hAnsi="Arial" w:cs="Arial"/>
        </w:rPr>
        <w:t> </w:t>
      </w:r>
    </w:p>
    <w:p w14:paraId="4FF8569F" w14:textId="77777777" w:rsidR="00BC181F" w:rsidRDefault="00BC181F" w:rsidP="00BC181F">
      <w:pPr>
        <w:pStyle w:val="paragraph"/>
        <w:spacing w:before="0" w:beforeAutospacing="0" w:after="0" w:afterAutospacing="0"/>
        <w:textAlignment w:val="baseline"/>
        <w:rPr>
          <w:rFonts w:ascii="Arial" w:hAnsi="Arial" w:cs="Arial"/>
        </w:rPr>
      </w:pPr>
    </w:p>
    <w:p w14:paraId="08FFD459" w14:textId="2EB71FE6" w:rsidR="00315BD8" w:rsidRPr="00165B34" w:rsidRDefault="00315BD8" w:rsidP="00623338">
      <w:pPr>
        <w:pStyle w:val="Heading3"/>
        <w:rPr>
          <w:rStyle w:val="normaltextrun"/>
        </w:rPr>
      </w:pPr>
      <w:bookmarkStart w:id="12" w:name="_Toc153363295"/>
      <w:r>
        <w:rPr>
          <w:rStyle w:val="normaltextrun"/>
        </w:rPr>
        <w:t xml:space="preserve">Direct </w:t>
      </w:r>
      <w:r w:rsidRPr="00623338">
        <w:rPr>
          <w:rStyle w:val="normaltextrun"/>
        </w:rPr>
        <w:t>Materials</w:t>
      </w:r>
      <w:bookmarkEnd w:id="12"/>
    </w:p>
    <w:p w14:paraId="0865F764" w14:textId="77777777" w:rsidR="005713D6" w:rsidRDefault="00BC181F" w:rsidP="006E59AE">
      <w:pPr>
        <w:pStyle w:val="paragraph"/>
        <w:numPr>
          <w:ilvl w:val="0"/>
          <w:numId w:val="9"/>
        </w:numPr>
        <w:spacing w:before="0" w:beforeAutospacing="0" w:after="0" w:afterAutospacing="0"/>
        <w:textAlignment w:val="baseline"/>
        <w:rPr>
          <w:rFonts w:ascii="Arial" w:hAnsi="Arial" w:cs="Arial"/>
        </w:rPr>
      </w:pPr>
      <w:r w:rsidRPr="00F47C14">
        <w:rPr>
          <w:rStyle w:val="normaltextrun"/>
          <w:rFonts w:ascii="Arial" w:hAnsi="Arial" w:cs="Arial"/>
          <w:lang w:val="en-US"/>
        </w:rPr>
        <w:t xml:space="preserve">The cost of materials which are consumed during project activities. </w:t>
      </w:r>
    </w:p>
    <w:p w14:paraId="24155DEE" w14:textId="77777777" w:rsidR="005713D6" w:rsidRDefault="00BC181F" w:rsidP="006E59AE">
      <w:pPr>
        <w:pStyle w:val="paragraph"/>
        <w:numPr>
          <w:ilvl w:val="0"/>
          <w:numId w:val="9"/>
        </w:numPr>
        <w:spacing w:before="0" w:beforeAutospacing="0" w:after="0" w:afterAutospacing="0"/>
        <w:textAlignment w:val="baseline"/>
        <w:rPr>
          <w:rFonts w:ascii="Arial" w:hAnsi="Arial" w:cs="Arial"/>
        </w:rPr>
      </w:pPr>
      <w:proofErr w:type="gramStart"/>
      <w:r w:rsidRPr="005713D6">
        <w:rPr>
          <w:rStyle w:val="normaltextrun"/>
          <w:rFonts w:ascii="Arial" w:hAnsi="Arial" w:cs="Arial"/>
          <w:lang w:val="en-US"/>
        </w:rPr>
        <w:t>Net</w:t>
      </w:r>
      <w:proofErr w:type="gramEnd"/>
      <w:r w:rsidRPr="005713D6">
        <w:rPr>
          <w:rStyle w:val="normaltextrun"/>
          <w:rFonts w:ascii="Arial" w:hAnsi="Arial" w:cs="Arial"/>
          <w:lang w:val="en-US"/>
        </w:rPr>
        <w:t xml:space="preserve"> laid down </w:t>
      </w:r>
      <w:proofErr w:type="gramStart"/>
      <w:r w:rsidRPr="005713D6">
        <w:rPr>
          <w:rStyle w:val="normaltextrun"/>
          <w:rFonts w:ascii="Arial" w:hAnsi="Arial" w:cs="Arial"/>
          <w:lang w:val="en-US"/>
        </w:rPr>
        <w:t>costs</w:t>
      </w:r>
      <w:proofErr w:type="gramEnd"/>
      <w:r w:rsidRPr="005713D6">
        <w:rPr>
          <w:rStyle w:val="normaltextrun"/>
          <w:rFonts w:ascii="Arial" w:hAnsi="Arial" w:cs="Arial"/>
          <w:lang w:val="en-US"/>
        </w:rPr>
        <w:t xml:space="preserve"> of materials purchased solely for project </w:t>
      </w:r>
      <w:proofErr w:type="gramStart"/>
      <w:r w:rsidRPr="005713D6">
        <w:rPr>
          <w:rStyle w:val="normaltextrun"/>
          <w:rFonts w:ascii="Arial" w:hAnsi="Arial" w:cs="Arial"/>
          <w:lang w:val="en-US"/>
        </w:rPr>
        <w:t>activities</w:t>
      </w:r>
      <w:proofErr w:type="gramEnd"/>
      <w:r w:rsidRPr="005713D6">
        <w:rPr>
          <w:rStyle w:val="normaltextrun"/>
          <w:rFonts w:ascii="Arial" w:hAnsi="Arial" w:cs="Arial"/>
          <w:lang w:val="en-US"/>
        </w:rPr>
        <w:t xml:space="preserve"> net of any sale taxes and after any discounts offered by suppliers. </w:t>
      </w:r>
      <w:r w:rsidRPr="005713D6">
        <w:rPr>
          <w:rStyle w:val="eop"/>
          <w:rFonts w:ascii="Arial" w:hAnsi="Arial" w:cs="Arial"/>
        </w:rPr>
        <w:t> </w:t>
      </w:r>
    </w:p>
    <w:p w14:paraId="1A6A3358" w14:textId="14E4AEDF" w:rsidR="00BC181F" w:rsidRPr="005713D6" w:rsidRDefault="00BC181F" w:rsidP="006E59AE">
      <w:pPr>
        <w:pStyle w:val="paragraph"/>
        <w:numPr>
          <w:ilvl w:val="0"/>
          <w:numId w:val="9"/>
        </w:numPr>
        <w:spacing w:before="0" w:beforeAutospacing="0" w:after="0" w:afterAutospacing="0"/>
        <w:textAlignment w:val="baseline"/>
        <w:rPr>
          <w:rFonts w:ascii="Arial" w:hAnsi="Arial" w:cs="Arial"/>
        </w:rPr>
      </w:pPr>
      <w:proofErr w:type="gramStart"/>
      <w:r w:rsidRPr="005713D6">
        <w:rPr>
          <w:rStyle w:val="normaltextrun"/>
          <w:rFonts w:ascii="Arial" w:hAnsi="Arial" w:cs="Arial"/>
          <w:lang w:val="en-US"/>
        </w:rPr>
        <w:t>Cost</w:t>
      </w:r>
      <w:proofErr w:type="gramEnd"/>
      <w:r w:rsidRPr="005713D6">
        <w:rPr>
          <w:rStyle w:val="normaltextrun"/>
          <w:rFonts w:ascii="Arial" w:hAnsi="Arial" w:cs="Arial"/>
          <w:lang w:val="en-US"/>
        </w:rPr>
        <w:t xml:space="preserve"> of materials consumed from the Ultimate Recipient(s)’s general stocks shall be measured in accordance with the material pricing method consistently used by the Ultimate Recipient(s).</w:t>
      </w:r>
      <w:r w:rsidRPr="005713D6">
        <w:rPr>
          <w:rStyle w:val="eop"/>
          <w:rFonts w:ascii="Arial" w:hAnsi="Arial" w:cs="Arial"/>
        </w:rPr>
        <w:t> </w:t>
      </w:r>
    </w:p>
    <w:p w14:paraId="77407010" w14:textId="77777777" w:rsidR="00BC181F" w:rsidRPr="00F47C14" w:rsidRDefault="00BC181F" w:rsidP="00BC181F">
      <w:pPr>
        <w:pStyle w:val="paragraph"/>
        <w:spacing w:before="0" w:beforeAutospacing="0" w:after="0" w:afterAutospacing="0"/>
        <w:ind w:left="420" w:hanging="420"/>
        <w:textAlignment w:val="baseline"/>
        <w:rPr>
          <w:rFonts w:ascii="Arial" w:hAnsi="Arial" w:cs="Arial"/>
        </w:rPr>
      </w:pPr>
      <w:r w:rsidRPr="00F47C14">
        <w:rPr>
          <w:rStyle w:val="eop"/>
          <w:rFonts w:ascii="Arial" w:hAnsi="Arial" w:cs="Arial"/>
        </w:rPr>
        <w:t> </w:t>
      </w:r>
    </w:p>
    <w:p w14:paraId="17C2C685" w14:textId="0F130CE9" w:rsidR="005713D6" w:rsidRDefault="00BC181F" w:rsidP="005713D6">
      <w:pPr>
        <w:pStyle w:val="paragraph"/>
        <w:spacing w:before="0" w:beforeAutospacing="0" w:after="0" w:afterAutospacing="0"/>
        <w:ind w:left="720"/>
        <w:textAlignment w:val="baseline"/>
        <w:rPr>
          <w:rStyle w:val="eop"/>
          <w:rFonts w:ascii="Arial" w:hAnsi="Arial" w:cs="Arial"/>
        </w:rPr>
      </w:pPr>
      <w:r w:rsidRPr="00F47C14">
        <w:rPr>
          <w:rStyle w:val="normaltextrun"/>
          <w:rFonts w:ascii="Arial" w:hAnsi="Arial" w:cs="Arial"/>
        </w:rPr>
        <w:t xml:space="preserve">Direct Materials include, but are not limited to, items such as circuit boards, </w:t>
      </w:r>
      <w:r w:rsidR="009116E2" w:rsidRPr="00F47C14">
        <w:rPr>
          <w:rStyle w:val="normaltextrun"/>
          <w:rFonts w:ascii="Arial" w:hAnsi="Arial" w:cs="Arial"/>
        </w:rPr>
        <w:t>cables,</w:t>
      </w:r>
      <w:r w:rsidRPr="00F47C14">
        <w:rPr>
          <w:rStyle w:val="normaltextrun"/>
          <w:rFonts w:ascii="Arial" w:hAnsi="Arial" w:cs="Arial"/>
        </w:rPr>
        <w:t xml:space="preserve"> and metals, essentially any raw material that is “used up” by completing </w:t>
      </w:r>
      <w:r w:rsidR="00726A10">
        <w:rPr>
          <w:rStyle w:val="normaltextrun"/>
          <w:rFonts w:ascii="Arial" w:hAnsi="Arial" w:cs="Arial"/>
        </w:rPr>
        <w:t>project</w:t>
      </w:r>
      <w:r w:rsidRPr="00F47C14">
        <w:rPr>
          <w:rStyle w:val="normaltextrun"/>
          <w:rFonts w:ascii="Arial" w:hAnsi="Arial" w:cs="Arial"/>
        </w:rPr>
        <w:t xml:space="preserve"> </w:t>
      </w:r>
      <w:r w:rsidR="00726A10">
        <w:rPr>
          <w:rStyle w:val="normaltextrun"/>
          <w:rFonts w:ascii="Arial" w:hAnsi="Arial" w:cs="Arial"/>
        </w:rPr>
        <w:t>a</w:t>
      </w:r>
      <w:r w:rsidRPr="00F47C14">
        <w:rPr>
          <w:rStyle w:val="normaltextrun"/>
          <w:rFonts w:ascii="Arial" w:hAnsi="Arial" w:cs="Arial"/>
        </w:rPr>
        <w:t>ctivities.</w:t>
      </w:r>
      <w:r w:rsidRPr="00F47C14">
        <w:rPr>
          <w:rStyle w:val="eop"/>
          <w:rFonts w:ascii="Arial" w:hAnsi="Arial" w:cs="Arial"/>
        </w:rPr>
        <w:t> </w:t>
      </w:r>
    </w:p>
    <w:p w14:paraId="0CEB71A7" w14:textId="77777777" w:rsidR="005713D6" w:rsidRDefault="005713D6" w:rsidP="005713D6">
      <w:pPr>
        <w:pStyle w:val="paragraph"/>
        <w:spacing w:before="0" w:beforeAutospacing="0" w:after="0" w:afterAutospacing="0"/>
        <w:ind w:left="720"/>
        <w:textAlignment w:val="baseline"/>
        <w:rPr>
          <w:rStyle w:val="eop"/>
          <w:rFonts w:ascii="Arial" w:hAnsi="Arial" w:cs="Arial"/>
        </w:rPr>
      </w:pPr>
    </w:p>
    <w:p w14:paraId="361C79AA" w14:textId="77777777" w:rsidR="00C50D98" w:rsidRPr="005713D6" w:rsidRDefault="00C50D98" w:rsidP="005713D6">
      <w:pPr>
        <w:pStyle w:val="paragraph"/>
        <w:spacing w:before="0" w:beforeAutospacing="0" w:after="0" w:afterAutospacing="0"/>
        <w:ind w:left="720"/>
        <w:textAlignment w:val="baseline"/>
        <w:rPr>
          <w:rStyle w:val="eop"/>
          <w:rFonts w:ascii="Arial" w:hAnsi="Arial" w:cs="Arial"/>
        </w:rPr>
      </w:pPr>
    </w:p>
    <w:p w14:paraId="2FDE38A2" w14:textId="49361BFA" w:rsidR="005713D6" w:rsidRPr="00165B34" w:rsidRDefault="00BC181F" w:rsidP="00623338">
      <w:pPr>
        <w:pStyle w:val="Heading3"/>
        <w:rPr>
          <w:rStyle w:val="normaltextrun"/>
        </w:rPr>
      </w:pPr>
      <w:r w:rsidRPr="00F47C14">
        <w:rPr>
          <w:rStyle w:val="eop"/>
        </w:rPr>
        <w:lastRenderedPageBreak/>
        <w:t> </w:t>
      </w:r>
      <w:bookmarkStart w:id="13" w:name="_Toc153363296"/>
      <w:r w:rsidR="005713D6">
        <w:rPr>
          <w:rStyle w:val="normaltextrun"/>
        </w:rPr>
        <w:t>Equipment</w:t>
      </w:r>
      <w:bookmarkEnd w:id="13"/>
    </w:p>
    <w:p w14:paraId="15361833" w14:textId="3E594F86" w:rsidR="005713D6" w:rsidRDefault="00BC181F" w:rsidP="006E59AE">
      <w:pPr>
        <w:pStyle w:val="paragraph"/>
        <w:numPr>
          <w:ilvl w:val="0"/>
          <w:numId w:val="10"/>
        </w:numPr>
        <w:spacing w:before="0" w:beforeAutospacing="0" w:after="0" w:afterAutospacing="0"/>
        <w:textAlignment w:val="baseline"/>
        <w:rPr>
          <w:rFonts w:ascii="Arial" w:hAnsi="Arial" w:cs="Arial"/>
        </w:rPr>
      </w:pPr>
      <w:r w:rsidRPr="00F47C14">
        <w:rPr>
          <w:rStyle w:val="normaltextrun"/>
          <w:rFonts w:ascii="Arial" w:hAnsi="Arial" w:cs="Arial"/>
          <w:lang w:val="en-US"/>
        </w:rPr>
        <w:t xml:space="preserve">The capital cost of </w:t>
      </w:r>
      <w:r w:rsidR="00633562">
        <w:rPr>
          <w:rStyle w:val="normaltextrun"/>
          <w:rFonts w:ascii="Arial" w:hAnsi="Arial" w:cs="Arial"/>
          <w:lang w:val="en-US"/>
        </w:rPr>
        <w:t>e</w:t>
      </w:r>
      <w:r w:rsidRPr="00F47C14">
        <w:rPr>
          <w:rStyle w:val="normaltextrun"/>
          <w:rFonts w:ascii="Arial" w:hAnsi="Arial" w:cs="Arial"/>
          <w:lang w:val="en-US"/>
        </w:rPr>
        <w:t xml:space="preserve">quipment, that can be specifically identified as having been purchased for project activities.  </w:t>
      </w:r>
    </w:p>
    <w:p w14:paraId="277F8393" w14:textId="77777777" w:rsidR="005713D6" w:rsidRDefault="00BC181F" w:rsidP="006E59AE">
      <w:pPr>
        <w:pStyle w:val="paragraph"/>
        <w:numPr>
          <w:ilvl w:val="0"/>
          <w:numId w:val="10"/>
        </w:numPr>
        <w:spacing w:before="0" w:beforeAutospacing="0" w:after="0" w:afterAutospacing="0"/>
        <w:textAlignment w:val="baseline"/>
        <w:rPr>
          <w:rFonts w:ascii="Arial" w:hAnsi="Arial" w:cs="Arial"/>
        </w:rPr>
      </w:pPr>
      <w:r w:rsidRPr="005713D6">
        <w:rPr>
          <w:rStyle w:val="normaltextrun"/>
          <w:rFonts w:ascii="Arial" w:hAnsi="Arial" w:cs="Arial"/>
          <w:lang w:val="en-US"/>
        </w:rPr>
        <w:t>If an Ultimate Recipient has built the equipment themselves, the costs would be included in the appropriate cost categories (Direct Material, Direct Labour, etc.</w:t>
      </w:r>
      <w:proofErr w:type="gramStart"/>
      <w:r w:rsidRPr="005713D6">
        <w:rPr>
          <w:rStyle w:val="normaltextrun"/>
          <w:rFonts w:ascii="Arial" w:hAnsi="Arial" w:cs="Arial"/>
          <w:lang w:val="en-US"/>
        </w:rPr>
        <w:t>);</w:t>
      </w:r>
      <w:proofErr w:type="gramEnd"/>
      <w:r w:rsidRPr="005713D6">
        <w:rPr>
          <w:rStyle w:val="eop"/>
          <w:rFonts w:ascii="Arial" w:hAnsi="Arial" w:cs="Arial"/>
        </w:rPr>
        <w:t> </w:t>
      </w:r>
    </w:p>
    <w:p w14:paraId="262ECCD8" w14:textId="15A628DC" w:rsidR="005713D6" w:rsidRDefault="00BC181F" w:rsidP="006E59AE">
      <w:pPr>
        <w:pStyle w:val="paragraph"/>
        <w:numPr>
          <w:ilvl w:val="0"/>
          <w:numId w:val="10"/>
        </w:numPr>
        <w:spacing w:before="0" w:beforeAutospacing="0" w:after="0" w:afterAutospacing="0"/>
        <w:textAlignment w:val="baseline"/>
        <w:rPr>
          <w:rFonts w:ascii="Arial" w:hAnsi="Arial" w:cs="Arial"/>
        </w:rPr>
      </w:pPr>
      <w:r w:rsidRPr="005713D6">
        <w:rPr>
          <w:rStyle w:val="normaltextrun"/>
          <w:rFonts w:ascii="Arial" w:hAnsi="Arial" w:cs="Arial"/>
          <w:lang w:val="en-US"/>
        </w:rPr>
        <w:t xml:space="preserve">If an Ultimate Recipient has equipment built by a third party, the costs would be included in the Equipment category if readily identifiable, otherwise the equipment could be reported in </w:t>
      </w:r>
      <w:r w:rsidR="001B0E06" w:rsidRPr="005713D6">
        <w:rPr>
          <w:rStyle w:val="normaltextrun"/>
          <w:rFonts w:ascii="Arial" w:hAnsi="Arial" w:cs="Arial"/>
          <w:lang w:val="en-US"/>
        </w:rPr>
        <w:t>the Subcontractors</w:t>
      </w:r>
      <w:r w:rsidRPr="005713D6">
        <w:rPr>
          <w:rStyle w:val="normaltextrun"/>
          <w:rFonts w:ascii="Arial" w:hAnsi="Arial" w:cs="Arial"/>
          <w:lang w:val="en-US"/>
        </w:rPr>
        <w:t xml:space="preserve"> category and consultants.</w:t>
      </w:r>
    </w:p>
    <w:p w14:paraId="4DFD2A78" w14:textId="44059B97" w:rsidR="00BC181F" w:rsidRPr="005713D6" w:rsidRDefault="00BC181F" w:rsidP="006E59AE">
      <w:pPr>
        <w:pStyle w:val="paragraph"/>
        <w:numPr>
          <w:ilvl w:val="0"/>
          <w:numId w:val="10"/>
        </w:numPr>
        <w:spacing w:before="0" w:beforeAutospacing="0" w:after="0" w:afterAutospacing="0"/>
        <w:textAlignment w:val="baseline"/>
        <w:rPr>
          <w:rFonts w:ascii="Arial" w:hAnsi="Arial" w:cs="Arial"/>
        </w:rPr>
      </w:pPr>
      <w:r w:rsidRPr="005713D6">
        <w:rPr>
          <w:rStyle w:val="normaltextrun"/>
          <w:rFonts w:ascii="Arial" w:hAnsi="Arial" w:cs="Arial"/>
          <w:lang w:val="en-US"/>
        </w:rPr>
        <w:t>If an Ultimate Recipient outright purchases a piece of equipment, the costs would be included in the Equipment category.</w:t>
      </w:r>
      <w:r w:rsidRPr="005713D6">
        <w:rPr>
          <w:rStyle w:val="eop"/>
          <w:rFonts w:ascii="Arial" w:hAnsi="Arial" w:cs="Arial"/>
        </w:rPr>
        <w:t> </w:t>
      </w:r>
    </w:p>
    <w:p w14:paraId="04531364" w14:textId="77777777" w:rsidR="00BC181F" w:rsidRPr="00F47C14" w:rsidRDefault="00BC181F" w:rsidP="00BC181F">
      <w:pPr>
        <w:pStyle w:val="paragraph"/>
        <w:spacing w:before="0" w:beforeAutospacing="0" w:after="0" w:afterAutospacing="0"/>
        <w:ind w:left="420" w:hanging="420"/>
        <w:textAlignment w:val="baseline"/>
        <w:rPr>
          <w:rFonts w:ascii="Arial" w:hAnsi="Arial" w:cs="Arial"/>
        </w:rPr>
      </w:pPr>
      <w:r w:rsidRPr="00F47C14">
        <w:rPr>
          <w:rStyle w:val="eop"/>
          <w:rFonts w:ascii="Arial" w:hAnsi="Arial" w:cs="Arial"/>
        </w:rPr>
        <w:t> </w:t>
      </w:r>
    </w:p>
    <w:p w14:paraId="021B95FC" w14:textId="4EC8632B" w:rsidR="00BC181F" w:rsidRDefault="00BC181F" w:rsidP="00BC181F">
      <w:pPr>
        <w:pStyle w:val="paragraph"/>
        <w:spacing w:before="0" w:beforeAutospacing="0" w:after="0" w:afterAutospacing="0"/>
        <w:ind w:left="720"/>
        <w:textAlignment w:val="baseline"/>
        <w:rPr>
          <w:rStyle w:val="eop"/>
          <w:rFonts w:ascii="Arial" w:hAnsi="Arial" w:cs="Arial"/>
        </w:rPr>
      </w:pPr>
      <w:r w:rsidRPr="00F47C14">
        <w:rPr>
          <w:rStyle w:val="normaltextrun"/>
          <w:rFonts w:ascii="Arial" w:hAnsi="Arial" w:cs="Arial"/>
        </w:rPr>
        <w:t xml:space="preserve">Equipment costs include but are not limited to, the purchase of equipment necessary for the </w:t>
      </w:r>
      <w:r w:rsidR="004D019F">
        <w:rPr>
          <w:rStyle w:val="normaltextrun"/>
          <w:rFonts w:ascii="Arial" w:hAnsi="Arial" w:cs="Arial"/>
        </w:rPr>
        <w:t>project</w:t>
      </w:r>
      <w:r w:rsidRPr="00F47C14">
        <w:rPr>
          <w:rStyle w:val="normaltextrun"/>
          <w:rFonts w:ascii="Arial" w:hAnsi="Arial" w:cs="Arial"/>
        </w:rPr>
        <w:t xml:space="preserve"> activities, costs to alter or modernize the equipment, costs to get the equipment into working order, and shipping costs.</w:t>
      </w:r>
      <w:r w:rsidRPr="00F47C14">
        <w:rPr>
          <w:rStyle w:val="eop"/>
          <w:rFonts w:ascii="Arial" w:hAnsi="Arial" w:cs="Arial"/>
        </w:rPr>
        <w:t> </w:t>
      </w:r>
    </w:p>
    <w:p w14:paraId="085C82E0" w14:textId="77777777" w:rsidR="005713D6" w:rsidRPr="00F47C14" w:rsidRDefault="005713D6" w:rsidP="00BC181F">
      <w:pPr>
        <w:pStyle w:val="paragraph"/>
        <w:spacing w:before="0" w:beforeAutospacing="0" w:after="0" w:afterAutospacing="0"/>
        <w:ind w:left="720"/>
        <w:textAlignment w:val="baseline"/>
        <w:rPr>
          <w:rFonts w:ascii="Arial" w:hAnsi="Arial" w:cs="Arial"/>
        </w:rPr>
      </w:pPr>
    </w:p>
    <w:p w14:paraId="287F7DD3" w14:textId="095B61C0" w:rsidR="00BC181F" w:rsidRPr="005713D6" w:rsidRDefault="00BC181F" w:rsidP="00623338">
      <w:pPr>
        <w:pStyle w:val="Heading3"/>
        <w:rPr>
          <w:rStyle w:val="normaltextrun"/>
        </w:rPr>
      </w:pPr>
      <w:r w:rsidRPr="00F47C14">
        <w:rPr>
          <w:rStyle w:val="eop"/>
        </w:rPr>
        <w:t> </w:t>
      </w:r>
      <w:bookmarkStart w:id="14" w:name="_Toc153363297"/>
      <w:r w:rsidRPr="005713D6">
        <w:rPr>
          <w:rStyle w:val="normaltextrun"/>
        </w:rPr>
        <w:t>Land, Building and Building Improvement:</w:t>
      </w:r>
      <w:bookmarkEnd w:id="14"/>
      <w:r w:rsidRPr="005713D6">
        <w:rPr>
          <w:rStyle w:val="normaltextrun"/>
        </w:rPr>
        <w:t xml:space="preserve"> </w:t>
      </w:r>
    </w:p>
    <w:p w14:paraId="3E0AC279" w14:textId="77777777" w:rsidR="00BC181F" w:rsidRDefault="00BC181F" w:rsidP="00BC181F">
      <w:pPr>
        <w:pStyle w:val="ListParagraph"/>
        <w:rPr>
          <w:rStyle w:val="normaltextrun"/>
        </w:rPr>
      </w:pPr>
      <w:r w:rsidRPr="00F47C14">
        <w:rPr>
          <w:rStyle w:val="normaltextrun"/>
        </w:rPr>
        <w:t xml:space="preserve">Capital cost of land, buildings or building improvement that are necessary to carry out project activities. Costs within this category require specific approval. </w:t>
      </w:r>
    </w:p>
    <w:p w14:paraId="3DD365FD" w14:textId="32017228" w:rsidR="00BC181F" w:rsidRPr="005713D6" w:rsidRDefault="00BC181F" w:rsidP="00623338">
      <w:pPr>
        <w:pStyle w:val="Heading3"/>
        <w:rPr>
          <w:rStyle w:val="normaltextrun"/>
        </w:rPr>
      </w:pPr>
      <w:bookmarkStart w:id="15" w:name="_Toc153363298"/>
      <w:r w:rsidRPr="005713D6">
        <w:rPr>
          <w:rStyle w:val="normaltextrun"/>
        </w:rPr>
        <w:t>Other Direct Costs:</w:t>
      </w:r>
      <w:bookmarkEnd w:id="15"/>
      <w:r w:rsidRPr="005713D6">
        <w:rPr>
          <w:rStyle w:val="normaltextrun"/>
        </w:rPr>
        <w:t xml:space="preserve"> </w:t>
      </w:r>
    </w:p>
    <w:p w14:paraId="5454DE86" w14:textId="77777777" w:rsidR="00BD7030" w:rsidRDefault="00BC181F" w:rsidP="006E59AE">
      <w:pPr>
        <w:pStyle w:val="paragraph"/>
        <w:numPr>
          <w:ilvl w:val="0"/>
          <w:numId w:val="11"/>
        </w:numPr>
        <w:spacing w:before="0" w:beforeAutospacing="0" w:after="0" w:afterAutospacing="0"/>
        <w:ind w:left="1418"/>
        <w:textAlignment w:val="baseline"/>
        <w:rPr>
          <w:rFonts w:ascii="Arial" w:hAnsi="Arial" w:cs="Arial"/>
        </w:rPr>
      </w:pPr>
      <w:r w:rsidRPr="00F47C14">
        <w:rPr>
          <w:rStyle w:val="normaltextrun"/>
          <w:rFonts w:ascii="Arial" w:hAnsi="Arial" w:cs="Arial"/>
          <w:lang w:val="en-US"/>
        </w:rPr>
        <w:t xml:space="preserve">Other eligible direct costs that do not fall within the categories </w:t>
      </w:r>
      <w:proofErr w:type="gramStart"/>
      <w:r w:rsidRPr="00F47C14">
        <w:rPr>
          <w:rStyle w:val="normaltextrun"/>
          <w:rFonts w:ascii="Arial" w:hAnsi="Arial" w:cs="Arial"/>
          <w:lang w:val="en-US"/>
        </w:rPr>
        <w:t>above but</w:t>
      </w:r>
      <w:proofErr w:type="gramEnd"/>
      <w:r w:rsidRPr="00F47C14">
        <w:rPr>
          <w:rStyle w:val="normaltextrun"/>
          <w:rFonts w:ascii="Arial" w:hAnsi="Arial" w:cs="Arial"/>
          <w:lang w:val="en-US"/>
        </w:rPr>
        <w:t xml:space="preserve"> are required for project activities.</w:t>
      </w:r>
      <w:r w:rsidRPr="00F47C14">
        <w:rPr>
          <w:rFonts w:ascii="Arial" w:hAnsi="Arial" w:cs="Arial"/>
        </w:rPr>
        <w:t xml:space="preserve"> This may include costs such as incremental costs for project-specific software, fees for accessing high-performance computing, and costs related to filing patents.</w:t>
      </w:r>
    </w:p>
    <w:p w14:paraId="7523380C" w14:textId="77777777" w:rsidR="00BD7030" w:rsidRDefault="00BC181F" w:rsidP="006E59AE">
      <w:pPr>
        <w:pStyle w:val="paragraph"/>
        <w:numPr>
          <w:ilvl w:val="0"/>
          <w:numId w:val="11"/>
        </w:numPr>
        <w:spacing w:before="0" w:beforeAutospacing="0" w:after="0" w:afterAutospacing="0"/>
        <w:ind w:left="1418"/>
        <w:textAlignment w:val="baseline"/>
        <w:rPr>
          <w:rFonts w:ascii="Arial" w:hAnsi="Arial" w:cs="Arial"/>
        </w:rPr>
      </w:pPr>
      <w:r w:rsidRPr="00BD7030">
        <w:rPr>
          <w:rFonts w:ascii="Arial" w:hAnsi="Arial" w:cs="Arial"/>
        </w:rPr>
        <w:t xml:space="preserve">Laboratory fees for </w:t>
      </w:r>
      <w:r w:rsidRPr="003A521D">
        <w:rPr>
          <w:rFonts w:ascii="Arial" w:hAnsi="Arial" w:cs="Arial"/>
          <w:i/>
          <w:iCs/>
        </w:rPr>
        <w:t>in-vivo</w:t>
      </w:r>
      <w:r w:rsidRPr="00BD7030">
        <w:rPr>
          <w:rFonts w:ascii="Arial" w:hAnsi="Arial" w:cs="Arial"/>
        </w:rPr>
        <w:t xml:space="preserve"> testing (animal, human) can be entered here. This includes imaging-related costs. However, if an Ultimate Recipient is directly conducting the testing, costs should be split between Direct Labour and Direct Materials.</w:t>
      </w:r>
    </w:p>
    <w:p w14:paraId="2E93CDF4" w14:textId="2AB822FE" w:rsidR="00BC181F" w:rsidRPr="00BD7030" w:rsidRDefault="00BC181F" w:rsidP="006E59AE">
      <w:pPr>
        <w:pStyle w:val="paragraph"/>
        <w:numPr>
          <w:ilvl w:val="0"/>
          <w:numId w:val="11"/>
        </w:numPr>
        <w:spacing w:before="0" w:beforeAutospacing="0" w:after="0" w:afterAutospacing="0"/>
        <w:ind w:left="1418"/>
        <w:textAlignment w:val="baseline"/>
        <w:rPr>
          <w:rFonts w:ascii="Arial" w:hAnsi="Arial" w:cs="Arial"/>
        </w:rPr>
      </w:pPr>
      <w:r w:rsidRPr="00BD7030">
        <w:rPr>
          <w:rFonts w:ascii="Arial" w:hAnsi="Arial" w:cs="Arial"/>
        </w:rPr>
        <w:t>Travel costs and fees to attend conferences and trade shows are not considered eligible.</w:t>
      </w:r>
    </w:p>
    <w:p w14:paraId="692FE169" w14:textId="77777777" w:rsidR="00BC181F" w:rsidRDefault="00BC181F" w:rsidP="00BC181F"/>
    <w:p w14:paraId="385FF3C4" w14:textId="50773C56" w:rsidR="00F102AB" w:rsidRPr="00F102AB" w:rsidRDefault="00A137CB" w:rsidP="006E59AE">
      <w:pPr>
        <w:pStyle w:val="Heading2"/>
        <w:numPr>
          <w:ilvl w:val="0"/>
          <w:numId w:val="12"/>
        </w:numPr>
      </w:pPr>
      <w:bookmarkStart w:id="16" w:name="_Toc153363299"/>
      <w:r>
        <w:t>Indirect Costs (Overhead)</w:t>
      </w:r>
      <w:bookmarkEnd w:id="16"/>
    </w:p>
    <w:p w14:paraId="47FCB98F" w14:textId="275AB259" w:rsidR="00A137CB" w:rsidRPr="00F47C14" w:rsidRDefault="00A137CB" w:rsidP="00A137CB">
      <w:pPr>
        <w:pStyle w:val="paragraph"/>
        <w:spacing w:before="0" w:beforeAutospacing="0" w:after="0" w:afterAutospacing="0"/>
        <w:textAlignment w:val="baseline"/>
        <w:rPr>
          <w:rFonts w:ascii="Arial" w:hAnsi="Arial" w:cs="Arial"/>
        </w:rPr>
      </w:pPr>
      <w:r w:rsidRPr="00F47C14">
        <w:rPr>
          <w:rStyle w:val="normaltextrun"/>
          <w:rFonts w:ascii="Arial" w:hAnsi="Arial" w:cs="Arial"/>
          <w:lang w:val="en-US"/>
        </w:rPr>
        <w:t xml:space="preserve">Indirect Costs (Overhead) are those costs which, though necessarily having been incurred and paid by the Ultimate Recipient(s) for the conduct of the business in general, cannot be identified and measured as directly applicable to the carrying out of the </w:t>
      </w:r>
      <w:r w:rsidR="00AE49E2">
        <w:rPr>
          <w:rStyle w:val="normaltextrun"/>
          <w:rFonts w:ascii="Arial" w:hAnsi="Arial" w:cs="Arial"/>
          <w:lang w:val="en-US"/>
        </w:rPr>
        <w:t>project</w:t>
      </w:r>
      <w:r w:rsidRPr="00F47C14">
        <w:rPr>
          <w:rStyle w:val="normaltextrun"/>
          <w:rFonts w:ascii="Arial" w:hAnsi="Arial" w:cs="Arial"/>
          <w:lang w:val="en-US"/>
        </w:rPr>
        <w:t xml:space="preserve"> </w:t>
      </w:r>
      <w:r w:rsidR="00AE49E2">
        <w:rPr>
          <w:rStyle w:val="normaltextrun"/>
          <w:rFonts w:ascii="Arial" w:hAnsi="Arial" w:cs="Arial"/>
          <w:lang w:val="en-US"/>
        </w:rPr>
        <w:t>a</w:t>
      </w:r>
      <w:r w:rsidRPr="00F47C14">
        <w:rPr>
          <w:rStyle w:val="normaltextrun"/>
          <w:rFonts w:ascii="Arial" w:hAnsi="Arial" w:cs="Arial"/>
          <w:lang w:val="en-US"/>
        </w:rPr>
        <w:t>ctivities included in the Statement of Work.</w:t>
      </w:r>
      <w:r w:rsidRPr="00F47C14">
        <w:rPr>
          <w:rStyle w:val="eop"/>
          <w:rFonts w:ascii="Arial" w:hAnsi="Arial" w:cs="Arial"/>
        </w:rPr>
        <w:t> </w:t>
      </w:r>
    </w:p>
    <w:p w14:paraId="456782A2" w14:textId="77777777" w:rsidR="00A137CB" w:rsidRPr="00F47C14" w:rsidRDefault="00A137CB" w:rsidP="00A137CB">
      <w:pPr>
        <w:pStyle w:val="paragraph"/>
        <w:spacing w:before="0" w:beforeAutospacing="0" w:after="0" w:afterAutospacing="0"/>
        <w:textAlignment w:val="baseline"/>
        <w:rPr>
          <w:rFonts w:ascii="Arial" w:hAnsi="Arial" w:cs="Arial"/>
        </w:rPr>
      </w:pPr>
      <w:r w:rsidRPr="00F47C14">
        <w:rPr>
          <w:rStyle w:val="eop"/>
          <w:rFonts w:ascii="Arial" w:hAnsi="Arial" w:cs="Arial"/>
        </w:rPr>
        <w:t> </w:t>
      </w:r>
    </w:p>
    <w:p w14:paraId="2F0B58F8" w14:textId="77777777" w:rsidR="00A137CB" w:rsidRPr="00F47C14" w:rsidRDefault="00A137CB" w:rsidP="00A137CB">
      <w:pPr>
        <w:pStyle w:val="paragraph"/>
        <w:spacing w:before="0" w:beforeAutospacing="0" w:after="0" w:afterAutospacing="0"/>
        <w:textAlignment w:val="baseline"/>
        <w:rPr>
          <w:rFonts w:ascii="Arial" w:hAnsi="Arial" w:cs="Arial"/>
        </w:rPr>
      </w:pPr>
      <w:r w:rsidRPr="00F47C14">
        <w:rPr>
          <w:rStyle w:val="normaltextrun"/>
          <w:rFonts w:ascii="Arial" w:hAnsi="Arial" w:cs="Arial"/>
        </w:rPr>
        <w:t>Indirect Costs (Overhead) include, but are not limited to:</w:t>
      </w:r>
      <w:r w:rsidRPr="00F47C14">
        <w:rPr>
          <w:rStyle w:val="eop"/>
          <w:rFonts w:ascii="Arial" w:hAnsi="Arial" w:cs="Arial"/>
        </w:rPr>
        <w:t> </w:t>
      </w:r>
    </w:p>
    <w:p w14:paraId="6160ECF2" w14:textId="77777777" w:rsidR="00A137CB" w:rsidRPr="00F47C14" w:rsidRDefault="00A137CB" w:rsidP="00A137CB">
      <w:pPr>
        <w:pStyle w:val="paragraph"/>
        <w:spacing w:before="0" w:beforeAutospacing="0" w:after="0" w:afterAutospacing="0"/>
        <w:ind w:left="720"/>
        <w:textAlignment w:val="baseline"/>
        <w:rPr>
          <w:rFonts w:ascii="Arial" w:hAnsi="Arial" w:cs="Arial"/>
        </w:rPr>
      </w:pPr>
      <w:r w:rsidRPr="00F47C14">
        <w:rPr>
          <w:rStyle w:val="eop"/>
          <w:rFonts w:ascii="Arial" w:hAnsi="Arial" w:cs="Arial"/>
        </w:rPr>
        <w:t> </w:t>
      </w:r>
    </w:p>
    <w:p w14:paraId="5E6EEB5C" w14:textId="77777777" w:rsidR="00A137CB" w:rsidRPr="00A76286" w:rsidRDefault="00A137CB" w:rsidP="006E59AE">
      <w:pPr>
        <w:pStyle w:val="paragraph"/>
        <w:numPr>
          <w:ilvl w:val="0"/>
          <w:numId w:val="14"/>
        </w:numPr>
        <w:spacing w:before="0" w:beforeAutospacing="0" w:after="0" w:afterAutospacing="0"/>
        <w:textAlignment w:val="baseline"/>
        <w:rPr>
          <w:rFonts w:ascii="Arial" w:hAnsi="Arial" w:cs="Arial"/>
        </w:rPr>
      </w:pPr>
      <w:r w:rsidRPr="00F47C14">
        <w:rPr>
          <w:rStyle w:val="normaltextrun"/>
          <w:rFonts w:ascii="Arial" w:hAnsi="Arial" w:cs="Arial"/>
        </w:rPr>
        <w:t xml:space="preserve">Indirect materials and supplies </w:t>
      </w:r>
      <w:r w:rsidRPr="00F47C14">
        <w:rPr>
          <w:rStyle w:val="normaltextrun"/>
          <w:rFonts w:ascii="Arial" w:hAnsi="Arial" w:cs="Arial"/>
          <w:lang w:val="en-US"/>
        </w:rPr>
        <w:t xml:space="preserve">including but not limited to, supplies of low-value, high-usage, and consumable items, such as paintbrushes and safety supplies, which meet the definition of Direct Material costs but for which it is commercially unreasonable to account for their costs in the manner prescribed for Direct Costs. </w:t>
      </w:r>
    </w:p>
    <w:p w14:paraId="382A32C0" w14:textId="77777777" w:rsidR="00C50D98" w:rsidRDefault="00C50D98" w:rsidP="00BC181F"/>
    <w:p w14:paraId="337099F4" w14:textId="0E9DC272" w:rsidR="00B416A5" w:rsidRPr="00F102AB" w:rsidRDefault="00B416A5" w:rsidP="006E59AE">
      <w:pPr>
        <w:pStyle w:val="Heading2"/>
        <w:numPr>
          <w:ilvl w:val="0"/>
          <w:numId w:val="12"/>
        </w:numPr>
        <w:ind w:left="363" w:hanging="363"/>
      </w:pPr>
      <w:bookmarkStart w:id="17" w:name="_Toc153363300"/>
      <w:r>
        <w:lastRenderedPageBreak/>
        <w:t>Ineligible Costs</w:t>
      </w:r>
      <w:bookmarkEnd w:id="17"/>
      <w:r>
        <w:t xml:space="preserve"> </w:t>
      </w:r>
    </w:p>
    <w:p w14:paraId="0EB33B76" w14:textId="77777777" w:rsidR="002868A0" w:rsidRPr="00F47C14" w:rsidRDefault="002868A0" w:rsidP="002868A0">
      <w:pPr>
        <w:pStyle w:val="paragraph"/>
        <w:spacing w:before="0" w:beforeAutospacing="0" w:after="0" w:afterAutospacing="0"/>
        <w:textAlignment w:val="baseline"/>
        <w:rPr>
          <w:rFonts w:ascii="Arial" w:hAnsi="Arial" w:cs="Arial"/>
        </w:rPr>
      </w:pPr>
      <w:r w:rsidRPr="00F47C14">
        <w:rPr>
          <w:rStyle w:val="normaltextrun"/>
          <w:rFonts w:ascii="Arial" w:hAnsi="Arial" w:cs="Arial"/>
          <w:lang w:val="en"/>
        </w:rPr>
        <w:t xml:space="preserve">Ineligible Costs </w:t>
      </w:r>
      <w:r w:rsidRPr="00F47C14">
        <w:rPr>
          <w:rStyle w:val="normaltextrun"/>
          <w:rFonts w:ascii="Arial" w:hAnsi="Arial" w:cs="Arial"/>
          <w:lang w:val="en-US"/>
        </w:rPr>
        <w:t xml:space="preserve">incurred and paid by the Ultimate Recipient(s) </w:t>
      </w:r>
      <w:r w:rsidRPr="00F47C14">
        <w:rPr>
          <w:rStyle w:val="normaltextrun"/>
          <w:rFonts w:ascii="Arial" w:hAnsi="Arial" w:cs="Arial"/>
          <w:lang w:val="en"/>
        </w:rPr>
        <w:t>are not eligible for reimbursement, regardless of whether they are reasonably and properly incurred and paid in the carrying out of the project activities. </w:t>
      </w:r>
      <w:r w:rsidRPr="00F47C14">
        <w:rPr>
          <w:rStyle w:val="eop"/>
          <w:rFonts w:ascii="Arial" w:hAnsi="Arial" w:cs="Arial"/>
        </w:rPr>
        <w:t> </w:t>
      </w:r>
    </w:p>
    <w:p w14:paraId="0CFCCB21" w14:textId="77777777" w:rsidR="002868A0" w:rsidRPr="00F47C14" w:rsidRDefault="002868A0" w:rsidP="002868A0">
      <w:pPr>
        <w:pStyle w:val="paragraph"/>
        <w:spacing w:before="0" w:beforeAutospacing="0" w:after="0" w:afterAutospacing="0"/>
        <w:textAlignment w:val="baseline"/>
        <w:rPr>
          <w:rFonts w:ascii="Arial" w:hAnsi="Arial" w:cs="Arial"/>
        </w:rPr>
      </w:pPr>
      <w:r w:rsidRPr="00F47C14">
        <w:rPr>
          <w:rStyle w:val="eop"/>
          <w:rFonts w:ascii="Arial" w:hAnsi="Arial" w:cs="Arial"/>
        </w:rPr>
        <w:t> </w:t>
      </w:r>
    </w:p>
    <w:p w14:paraId="59095960" w14:textId="01228746" w:rsidR="002868A0" w:rsidRPr="00F47C14" w:rsidRDefault="002868A0" w:rsidP="002868A0">
      <w:pPr>
        <w:pStyle w:val="paragraph"/>
        <w:spacing w:before="0" w:beforeAutospacing="0" w:after="0" w:afterAutospacing="0"/>
        <w:textAlignment w:val="baseline"/>
        <w:rPr>
          <w:rFonts w:ascii="Arial" w:hAnsi="Arial" w:cs="Arial"/>
        </w:rPr>
      </w:pPr>
      <w:r w:rsidRPr="00C50D98">
        <w:rPr>
          <w:rStyle w:val="normaltextrun"/>
          <w:rFonts w:ascii="Arial" w:hAnsi="Arial" w:cs="Arial"/>
          <w:lang w:val="en"/>
        </w:rPr>
        <w:t>Ineligible Costs include:</w:t>
      </w:r>
      <w:r w:rsidRPr="00F47C14">
        <w:rPr>
          <w:rStyle w:val="eop"/>
          <w:rFonts w:ascii="Arial" w:hAnsi="Arial" w:cs="Arial"/>
        </w:rPr>
        <w:t> </w:t>
      </w:r>
    </w:p>
    <w:p w14:paraId="56B68E0B" w14:textId="77777777" w:rsidR="002868A0" w:rsidRPr="00F47C14" w:rsidRDefault="002868A0" w:rsidP="002868A0">
      <w:pPr>
        <w:pStyle w:val="paragraph"/>
        <w:spacing w:before="0" w:beforeAutospacing="0" w:after="0" w:afterAutospacing="0"/>
        <w:ind w:left="720"/>
        <w:textAlignment w:val="baseline"/>
        <w:rPr>
          <w:rFonts w:ascii="Arial" w:hAnsi="Arial" w:cs="Arial"/>
        </w:rPr>
      </w:pPr>
      <w:r w:rsidRPr="00F47C14">
        <w:rPr>
          <w:rStyle w:val="eop"/>
          <w:rFonts w:ascii="Arial" w:hAnsi="Arial" w:cs="Arial"/>
        </w:rPr>
        <w:t> </w:t>
      </w:r>
    </w:p>
    <w:p w14:paraId="3474117E" w14:textId="77777777"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 xml:space="preserve">any form of interest paid or payable on invested capital, bonds, debentures, bank, or other loans together with related bond discounts and finance charges; the interest portion of the lease cost that is attributable to </w:t>
      </w:r>
      <w:proofErr w:type="gramStart"/>
      <w:r w:rsidRPr="00F47C14">
        <w:rPr>
          <w:rStyle w:val="normaltextrun"/>
          <w:rFonts w:ascii="Arial" w:hAnsi="Arial" w:cs="Arial"/>
          <w:lang w:val="en"/>
        </w:rPr>
        <w:t>cost</w:t>
      </w:r>
      <w:proofErr w:type="gramEnd"/>
      <w:r w:rsidRPr="00F47C14">
        <w:rPr>
          <w:rStyle w:val="normaltextrun"/>
          <w:rFonts w:ascii="Arial" w:hAnsi="Arial" w:cs="Arial"/>
          <w:lang w:val="en"/>
        </w:rPr>
        <w:t xml:space="preserve"> of borrowing regardless of types of </w:t>
      </w:r>
      <w:proofErr w:type="gramStart"/>
      <w:r w:rsidRPr="00F47C14">
        <w:rPr>
          <w:rStyle w:val="normaltextrun"/>
          <w:rFonts w:ascii="Arial" w:hAnsi="Arial" w:cs="Arial"/>
          <w:lang w:val="en"/>
        </w:rPr>
        <w:t>lease;</w:t>
      </w:r>
      <w:proofErr w:type="gramEnd"/>
      <w:r w:rsidRPr="00F47C14">
        <w:rPr>
          <w:rStyle w:val="normaltextrun"/>
          <w:rFonts w:ascii="Arial" w:hAnsi="Arial" w:cs="Arial"/>
          <w:lang w:val="en"/>
        </w:rPr>
        <w:t> </w:t>
      </w:r>
      <w:r w:rsidRPr="00F47C14">
        <w:rPr>
          <w:rStyle w:val="eop"/>
          <w:rFonts w:ascii="Arial" w:hAnsi="Arial" w:cs="Arial"/>
        </w:rPr>
        <w:t> </w:t>
      </w:r>
    </w:p>
    <w:p w14:paraId="63CFCBEA" w14:textId="77777777"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 xml:space="preserve">legal, accounting and consulting fees in connection with financial reorganization (including the set-up of new not-for-profit organizations), security issues, capital stock issues, obtaining of licenses, establishment, and management of agreements with Ultimate Recipients and prosecution of claims against the Minister. Such legal costs associated with developing the agreement template and in connection with obtaining patents or other statutory protection for Network intellectual property are considered </w:t>
      </w:r>
      <w:proofErr w:type="gramStart"/>
      <w:r w:rsidRPr="00F47C14">
        <w:rPr>
          <w:rStyle w:val="normaltextrun"/>
          <w:rFonts w:ascii="Arial" w:hAnsi="Arial" w:cs="Arial"/>
          <w:lang w:val="en"/>
        </w:rPr>
        <w:t>eligible;</w:t>
      </w:r>
      <w:proofErr w:type="gramEnd"/>
      <w:r w:rsidRPr="00F47C14">
        <w:rPr>
          <w:rStyle w:val="eop"/>
          <w:rFonts w:ascii="Arial" w:hAnsi="Arial" w:cs="Arial"/>
        </w:rPr>
        <w:t> </w:t>
      </w:r>
    </w:p>
    <w:p w14:paraId="35CEB23D" w14:textId="77777777"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 xml:space="preserve">losses on investments, bad debts, and expenses for the collection </w:t>
      </w:r>
      <w:proofErr w:type="gramStart"/>
      <w:r w:rsidRPr="00F47C14">
        <w:rPr>
          <w:rStyle w:val="normaltextrun"/>
          <w:rFonts w:ascii="Arial" w:hAnsi="Arial" w:cs="Arial"/>
          <w:lang w:val="en"/>
        </w:rPr>
        <w:t>charges;</w:t>
      </w:r>
      <w:proofErr w:type="gramEnd"/>
      <w:r w:rsidRPr="00F47C14">
        <w:rPr>
          <w:rStyle w:val="eop"/>
          <w:rFonts w:ascii="Arial" w:hAnsi="Arial" w:cs="Arial"/>
        </w:rPr>
        <w:t> </w:t>
      </w:r>
    </w:p>
    <w:p w14:paraId="5598AD05" w14:textId="77777777"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 xml:space="preserve">losses on other projects or </w:t>
      </w:r>
      <w:proofErr w:type="gramStart"/>
      <w:r w:rsidRPr="00F47C14">
        <w:rPr>
          <w:rStyle w:val="normaltextrun"/>
          <w:rFonts w:ascii="Arial" w:hAnsi="Arial" w:cs="Arial"/>
          <w:lang w:val="en"/>
        </w:rPr>
        <w:t>contracts;</w:t>
      </w:r>
      <w:proofErr w:type="gramEnd"/>
      <w:r w:rsidRPr="00F47C14">
        <w:rPr>
          <w:rStyle w:val="eop"/>
          <w:rFonts w:ascii="Arial" w:hAnsi="Arial" w:cs="Arial"/>
        </w:rPr>
        <w:t> </w:t>
      </w:r>
    </w:p>
    <w:p w14:paraId="5D327101" w14:textId="77777777"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federal and provincial income taxes, goods and services taxes, value added taxes, excess profit taxes or surtaxes and/or special expenses in connection with those taxes, except duty taxes paid for importing is Eligible Cost. </w:t>
      </w:r>
      <w:r w:rsidRPr="00F47C14">
        <w:rPr>
          <w:rStyle w:val="eop"/>
          <w:rFonts w:ascii="Arial" w:hAnsi="Arial" w:cs="Arial"/>
        </w:rPr>
        <w:t> </w:t>
      </w:r>
    </w:p>
    <w:p w14:paraId="73262B8C" w14:textId="77777777"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 xml:space="preserve">provisions for </w:t>
      </w:r>
      <w:proofErr w:type="gramStart"/>
      <w:r w:rsidRPr="00F47C14">
        <w:rPr>
          <w:rStyle w:val="normaltextrun"/>
          <w:rFonts w:ascii="Arial" w:hAnsi="Arial" w:cs="Arial"/>
          <w:lang w:val="en"/>
        </w:rPr>
        <w:t>contingencies;</w:t>
      </w:r>
      <w:proofErr w:type="gramEnd"/>
      <w:r w:rsidRPr="00F47C14">
        <w:rPr>
          <w:rStyle w:val="eop"/>
          <w:rFonts w:ascii="Arial" w:hAnsi="Arial" w:cs="Arial"/>
        </w:rPr>
        <w:t> </w:t>
      </w:r>
    </w:p>
    <w:p w14:paraId="1A618130" w14:textId="77777777"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 xml:space="preserve">premiums for life insurance on the lives of officers and/or directors where proceeds accrue to the </w:t>
      </w:r>
      <w:proofErr w:type="gramStart"/>
      <w:r w:rsidRPr="00F47C14">
        <w:rPr>
          <w:rStyle w:val="normaltextrun"/>
          <w:rFonts w:ascii="Arial" w:hAnsi="Arial" w:cs="Arial"/>
          <w:lang w:val="en"/>
        </w:rPr>
        <w:t>Recipient;</w:t>
      </w:r>
      <w:proofErr w:type="gramEnd"/>
      <w:r w:rsidRPr="00F47C14">
        <w:rPr>
          <w:rStyle w:val="eop"/>
          <w:rFonts w:ascii="Arial" w:hAnsi="Arial" w:cs="Arial"/>
        </w:rPr>
        <w:t> </w:t>
      </w:r>
    </w:p>
    <w:p w14:paraId="29A5D47F" w14:textId="77777777"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 xml:space="preserve">amortization of unrealized appreciation of </w:t>
      </w:r>
      <w:proofErr w:type="gramStart"/>
      <w:r w:rsidRPr="00F47C14">
        <w:rPr>
          <w:rStyle w:val="normaltextrun"/>
          <w:rFonts w:ascii="Arial" w:hAnsi="Arial" w:cs="Arial"/>
          <w:lang w:val="en"/>
        </w:rPr>
        <w:t>assets;</w:t>
      </w:r>
      <w:proofErr w:type="gramEnd"/>
      <w:r w:rsidRPr="00F47C14">
        <w:rPr>
          <w:rStyle w:val="eop"/>
          <w:rFonts w:ascii="Arial" w:hAnsi="Arial" w:cs="Arial"/>
        </w:rPr>
        <w:t> </w:t>
      </w:r>
    </w:p>
    <w:p w14:paraId="59D5DF9B" w14:textId="77777777"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 xml:space="preserve">depreciation of assets paid for by the </w:t>
      </w:r>
      <w:proofErr w:type="gramStart"/>
      <w:r w:rsidRPr="00F47C14">
        <w:rPr>
          <w:rStyle w:val="normaltextrun"/>
          <w:rFonts w:ascii="Arial" w:hAnsi="Arial" w:cs="Arial"/>
          <w:lang w:val="en"/>
        </w:rPr>
        <w:t>Minister;</w:t>
      </w:r>
      <w:proofErr w:type="gramEnd"/>
      <w:r w:rsidRPr="00F47C14">
        <w:rPr>
          <w:rStyle w:val="eop"/>
          <w:rFonts w:ascii="Arial" w:hAnsi="Arial" w:cs="Arial"/>
        </w:rPr>
        <w:t> </w:t>
      </w:r>
    </w:p>
    <w:p w14:paraId="7CF0247B" w14:textId="77777777"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 xml:space="preserve">fines and </w:t>
      </w:r>
      <w:proofErr w:type="gramStart"/>
      <w:r w:rsidRPr="00F47C14">
        <w:rPr>
          <w:rStyle w:val="normaltextrun"/>
          <w:rFonts w:ascii="Arial" w:hAnsi="Arial" w:cs="Arial"/>
          <w:lang w:val="en"/>
        </w:rPr>
        <w:t>penalties;</w:t>
      </w:r>
      <w:proofErr w:type="gramEnd"/>
      <w:r w:rsidRPr="00F47C14">
        <w:rPr>
          <w:rStyle w:val="eop"/>
          <w:rFonts w:ascii="Arial" w:hAnsi="Arial" w:cs="Arial"/>
        </w:rPr>
        <w:t> </w:t>
      </w:r>
    </w:p>
    <w:p w14:paraId="23B48775" w14:textId="77777777"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 xml:space="preserve">expenses and depreciation of excess </w:t>
      </w:r>
      <w:proofErr w:type="gramStart"/>
      <w:r w:rsidRPr="00F47C14">
        <w:rPr>
          <w:rStyle w:val="normaltextrun"/>
          <w:rFonts w:ascii="Arial" w:hAnsi="Arial" w:cs="Arial"/>
          <w:lang w:val="en"/>
        </w:rPr>
        <w:t>facilities;</w:t>
      </w:r>
      <w:proofErr w:type="gramEnd"/>
      <w:r w:rsidRPr="00F47C14">
        <w:rPr>
          <w:rStyle w:val="eop"/>
          <w:rFonts w:ascii="Arial" w:hAnsi="Arial" w:cs="Arial"/>
        </w:rPr>
        <w:t> </w:t>
      </w:r>
    </w:p>
    <w:p w14:paraId="5FBD683F" w14:textId="77777777"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 xml:space="preserve">unreasonable compensation for officers and </w:t>
      </w:r>
      <w:proofErr w:type="gramStart"/>
      <w:r w:rsidRPr="00F47C14">
        <w:rPr>
          <w:rStyle w:val="normaltextrun"/>
          <w:rFonts w:ascii="Arial" w:hAnsi="Arial" w:cs="Arial"/>
          <w:lang w:val="en"/>
        </w:rPr>
        <w:t>employees;</w:t>
      </w:r>
      <w:proofErr w:type="gramEnd"/>
      <w:r w:rsidRPr="00F47C14">
        <w:rPr>
          <w:rStyle w:val="eop"/>
          <w:rFonts w:ascii="Arial" w:hAnsi="Arial" w:cs="Arial"/>
        </w:rPr>
        <w:t> </w:t>
      </w:r>
    </w:p>
    <w:p w14:paraId="00552370" w14:textId="77777777"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 xml:space="preserve">product development or improvement expenses not associated with the work being performed under the </w:t>
      </w:r>
      <w:proofErr w:type="gramStart"/>
      <w:r w:rsidRPr="00F47C14">
        <w:rPr>
          <w:rStyle w:val="normaltextrun"/>
          <w:rFonts w:ascii="Arial" w:hAnsi="Arial" w:cs="Arial"/>
          <w:lang w:val="en"/>
        </w:rPr>
        <w:t>Network;</w:t>
      </w:r>
      <w:proofErr w:type="gramEnd"/>
      <w:r w:rsidRPr="00F47C14">
        <w:rPr>
          <w:rStyle w:val="eop"/>
          <w:rFonts w:ascii="Arial" w:hAnsi="Arial" w:cs="Arial"/>
        </w:rPr>
        <w:t> </w:t>
      </w:r>
    </w:p>
    <w:p w14:paraId="5D3D3E67" w14:textId="77777777"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 xml:space="preserve">advertising, except reasonable advertising of an industrial or institutional character placed in trade, technical or professional journals for the dissemination of information for the industry or </w:t>
      </w:r>
      <w:proofErr w:type="gramStart"/>
      <w:r w:rsidRPr="00F47C14">
        <w:rPr>
          <w:rStyle w:val="normaltextrun"/>
          <w:rFonts w:ascii="Arial" w:hAnsi="Arial" w:cs="Arial"/>
          <w:lang w:val="en"/>
        </w:rPr>
        <w:t>institution;</w:t>
      </w:r>
      <w:proofErr w:type="gramEnd"/>
      <w:r w:rsidRPr="00F47C14">
        <w:rPr>
          <w:rStyle w:val="eop"/>
          <w:rFonts w:ascii="Arial" w:hAnsi="Arial" w:cs="Arial"/>
        </w:rPr>
        <w:t> </w:t>
      </w:r>
    </w:p>
    <w:p w14:paraId="118FD089" w14:textId="77777777"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 xml:space="preserve">entertainment expenses (including but not limited </w:t>
      </w:r>
      <w:proofErr w:type="gramStart"/>
      <w:r w:rsidRPr="00F47C14">
        <w:rPr>
          <w:rStyle w:val="normaltextrun"/>
          <w:rFonts w:ascii="Arial" w:hAnsi="Arial" w:cs="Arial"/>
          <w:lang w:val="en"/>
        </w:rPr>
        <w:t>to,</w:t>
      </w:r>
      <w:proofErr w:type="gramEnd"/>
      <w:r w:rsidRPr="00F47C14">
        <w:rPr>
          <w:rStyle w:val="normaltextrun"/>
          <w:rFonts w:ascii="Arial" w:hAnsi="Arial" w:cs="Arial"/>
          <w:lang w:val="en"/>
        </w:rPr>
        <w:t xml:space="preserve"> catering, alcohol, non-travel expenses</w:t>
      </w:r>
      <w:proofErr w:type="gramStart"/>
      <w:r w:rsidRPr="00F47C14">
        <w:rPr>
          <w:rStyle w:val="normaltextrun"/>
          <w:rFonts w:ascii="Arial" w:hAnsi="Arial" w:cs="Arial"/>
          <w:lang w:val="en"/>
        </w:rPr>
        <w:t>);</w:t>
      </w:r>
      <w:proofErr w:type="gramEnd"/>
      <w:r w:rsidRPr="00F47C14">
        <w:rPr>
          <w:rStyle w:val="eop"/>
          <w:rFonts w:ascii="Arial" w:hAnsi="Arial" w:cs="Arial"/>
        </w:rPr>
        <w:t> </w:t>
      </w:r>
    </w:p>
    <w:p w14:paraId="553FD4D6" w14:textId="77777777"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proofErr w:type="gramStart"/>
      <w:r w:rsidRPr="00F47C14">
        <w:rPr>
          <w:rStyle w:val="normaltextrun"/>
          <w:rFonts w:ascii="Arial" w:hAnsi="Arial" w:cs="Arial"/>
          <w:lang w:val="en"/>
        </w:rPr>
        <w:t>donations;</w:t>
      </w:r>
      <w:proofErr w:type="gramEnd"/>
      <w:r w:rsidRPr="00F47C14">
        <w:rPr>
          <w:rStyle w:val="eop"/>
          <w:rFonts w:ascii="Arial" w:hAnsi="Arial" w:cs="Arial"/>
        </w:rPr>
        <w:t> </w:t>
      </w:r>
    </w:p>
    <w:p w14:paraId="0CD4F102" w14:textId="77777777"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 xml:space="preserve">dues and other memberships other than regular trade and professional </w:t>
      </w:r>
      <w:proofErr w:type="gramStart"/>
      <w:r w:rsidRPr="00F47C14">
        <w:rPr>
          <w:rStyle w:val="normaltextrun"/>
          <w:rFonts w:ascii="Arial" w:hAnsi="Arial" w:cs="Arial"/>
          <w:lang w:val="en"/>
        </w:rPr>
        <w:t>associations;</w:t>
      </w:r>
      <w:proofErr w:type="gramEnd"/>
      <w:r w:rsidRPr="00F47C14">
        <w:rPr>
          <w:rStyle w:val="eop"/>
          <w:rFonts w:ascii="Arial" w:hAnsi="Arial" w:cs="Arial"/>
        </w:rPr>
        <w:t> </w:t>
      </w:r>
    </w:p>
    <w:p w14:paraId="602E9658" w14:textId="30CD254D"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 xml:space="preserve">extraordinary or abnormal fees for professional advice </w:t>
      </w:r>
      <w:proofErr w:type="gramStart"/>
      <w:r w:rsidRPr="00F47C14">
        <w:rPr>
          <w:rStyle w:val="normaltextrun"/>
          <w:rFonts w:ascii="Arial" w:hAnsi="Arial" w:cs="Arial"/>
          <w:lang w:val="en"/>
        </w:rPr>
        <w:t>in regard to</w:t>
      </w:r>
      <w:proofErr w:type="gramEnd"/>
      <w:r w:rsidRPr="00F47C14">
        <w:rPr>
          <w:rStyle w:val="normaltextrun"/>
          <w:rFonts w:ascii="Arial" w:hAnsi="Arial" w:cs="Arial"/>
          <w:lang w:val="en"/>
        </w:rPr>
        <w:t xml:space="preserve"> technical, </w:t>
      </w:r>
      <w:r w:rsidR="005A1336" w:rsidRPr="00F47C14">
        <w:rPr>
          <w:rStyle w:val="normaltextrun"/>
          <w:rFonts w:ascii="Arial" w:hAnsi="Arial" w:cs="Arial"/>
          <w:lang w:val="en"/>
        </w:rPr>
        <w:t>administrative,</w:t>
      </w:r>
      <w:r w:rsidRPr="00F47C14">
        <w:rPr>
          <w:rStyle w:val="normaltextrun"/>
          <w:rFonts w:ascii="Arial" w:hAnsi="Arial" w:cs="Arial"/>
          <w:lang w:val="en"/>
        </w:rPr>
        <w:t xml:space="preserve"> or accounting matters, unless approval from the Minister is </w:t>
      </w:r>
      <w:proofErr w:type="gramStart"/>
      <w:r w:rsidRPr="00F47C14">
        <w:rPr>
          <w:rStyle w:val="normaltextrun"/>
          <w:rFonts w:ascii="Arial" w:hAnsi="Arial" w:cs="Arial"/>
          <w:lang w:val="en"/>
        </w:rPr>
        <w:t>obtained;</w:t>
      </w:r>
      <w:proofErr w:type="gramEnd"/>
      <w:r w:rsidRPr="00F47C14">
        <w:rPr>
          <w:rStyle w:val="eop"/>
          <w:rFonts w:ascii="Arial" w:hAnsi="Arial" w:cs="Arial"/>
        </w:rPr>
        <w:t> </w:t>
      </w:r>
    </w:p>
    <w:p w14:paraId="764A85C8" w14:textId="66E166CE"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 xml:space="preserve">selling and marketing expenses associated with the products or </w:t>
      </w:r>
      <w:r w:rsidR="001B0E06" w:rsidRPr="00F47C14">
        <w:rPr>
          <w:rStyle w:val="normaltextrun"/>
          <w:rFonts w:ascii="Arial" w:hAnsi="Arial" w:cs="Arial"/>
          <w:lang w:val="en"/>
        </w:rPr>
        <w:t>services,</w:t>
      </w:r>
      <w:r w:rsidRPr="00F47C14">
        <w:rPr>
          <w:rStyle w:val="normaltextrun"/>
          <w:rFonts w:ascii="Arial" w:hAnsi="Arial" w:cs="Arial"/>
          <w:lang w:val="en"/>
        </w:rPr>
        <w:t xml:space="preserve"> or both being developed under the </w:t>
      </w:r>
      <w:proofErr w:type="gramStart"/>
      <w:r w:rsidRPr="00F47C14">
        <w:rPr>
          <w:rStyle w:val="normaltextrun"/>
          <w:rFonts w:ascii="Arial" w:hAnsi="Arial" w:cs="Arial"/>
          <w:lang w:val="en"/>
        </w:rPr>
        <w:t>Agreement;</w:t>
      </w:r>
      <w:proofErr w:type="gramEnd"/>
      <w:r w:rsidRPr="00F47C14">
        <w:rPr>
          <w:rStyle w:val="eop"/>
          <w:rFonts w:ascii="Arial" w:hAnsi="Arial" w:cs="Arial"/>
        </w:rPr>
        <w:t> </w:t>
      </w:r>
    </w:p>
    <w:p w14:paraId="23FB455D" w14:textId="77777777" w:rsidR="002868A0" w:rsidRPr="00F47C14"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in-kind costs; and</w:t>
      </w:r>
      <w:r w:rsidRPr="00F47C14">
        <w:rPr>
          <w:rStyle w:val="eop"/>
          <w:rFonts w:ascii="Arial" w:hAnsi="Arial" w:cs="Arial"/>
        </w:rPr>
        <w:t> </w:t>
      </w:r>
    </w:p>
    <w:p w14:paraId="0E4EA221" w14:textId="71342BB5" w:rsidR="00BC08C0" w:rsidRPr="00647A60" w:rsidRDefault="002868A0" w:rsidP="006E59AE">
      <w:pPr>
        <w:pStyle w:val="paragraph"/>
        <w:numPr>
          <w:ilvl w:val="1"/>
          <w:numId w:val="15"/>
        </w:numPr>
        <w:spacing w:before="0" w:beforeAutospacing="0" w:after="0" w:afterAutospacing="0"/>
        <w:textAlignment w:val="baseline"/>
        <w:rPr>
          <w:rFonts w:ascii="Arial" w:hAnsi="Arial" w:cs="Arial"/>
        </w:rPr>
      </w:pPr>
      <w:r w:rsidRPr="00F47C14">
        <w:rPr>
          <w:rStyle w:val="normaltextrun"/>
          <w:rFonts w:ascii="Arial" w:hAnsi="Arial" w:cs="Arial"/>
          <w:lang w:val="en"/>
        </w:rPr>
        <w:t xml:space="preserve">recruiting </w:t>
      </w:r>
      <w:r w:rsidR="005A1336" w:rsidRPr="00F47C14">
        <w:rPr>
          <w:rStyle w:val="normaltextrun"/>
          <w:rFonts w:ascii="Arial" w:hAnsi="Arial" w:cs="Arial"/>
          <w:lang w:val="en"/>
        </w:rPr>
        <w:t>fees unless</w:t>
      </w:r>
      <w:r w:rsidRPr="00F47C14">
        <w:rPr>
          <w:rStyle w:val="normaltextrun"/>
          <w:rFonts w:ascii="Arial" w:hAnsi="Arial" w:cs="Arial"/>
          <w:lang w:val="en"/>
        </w:rPr>
        <w:t xml:space="preserve"> approval from the Minister is obtained. </w:t>
      </w:r>
      <w:r w:rsidRPr="00F47C14">
        <w:rPr>
          <w:rStyle w:val="eop"/>
          <w:rFonts w:ascii="Arial" w:hAnsi="Arial" w:cs="Arial"/>
        </w:rPr>
        <w:t> </w:t>
      </w:r>
      <w:r w:rsidR="00BC08C0">
        <w:br w:type="page"/>
      </w:r>
    </w:p>
    <w:p w14:paraId="79AE8C46" w14:textId="08254C4B" w:rsidR="00BC08C0" w:rsidRDefault="002649F1" w:rsidP="00BC08C0">
      <w:pPr>
        <w:pStyle w:val="Heading1"/>
      </w:pPr>
      <w:bookmarkStart w:id="18" w:name="_Toc153363301"/>
      <w:r>
        <w:lastRenderedPageBreak/>
        <w:t>Guide to Completing the Application</w:t>
      </w:r>
      <w:bookmarkEnd w:id="18"/>
    </w:p>
    <w:p w14:paraId="1728E7B3" w14:textId="66A740C6" w:rsidR="009254F1" w:rsidRDefault="009254F1" w:rsidP="009254F1">
      <w:r>
        <w:t xml:space="preserve">The first stage of the application is a </w:t>
      </w:r>
      <w:r w:rsidRPr="001E2FCB">
        <w:rPr>
          <w:b/>
          <w:bCs/>
          <w:u w:val="single"/>
        </w:rPr>
        <w:t>non-confidential</w:t>
      </w:r>
      <w:r>
        <w:t xml:space="preserve"> PowerPoint presentation. Questions and topics have been included in the template slide deck for applicants to complete. With a limit of 10 slides, the applicant is challenged with preparing a concise yet detailed application, conveying the novelty and importance of their project.</w:t>
      </w:r>
    </w:p>
    <w:p w14:paraId="174D89B5" w14:textId="77777777" w:rsidR="009254F1" w:rsidRDefault="009254F1" w:rsidP="009254F1">
      <w:r>
        <w:t>Successful applicants will have included the following information in their application:</w:t>
      </w:r>
    </w:p>
    <w:p w14:paraId="14A8A9C4" w14:textId="77777777" w:rsidR="009254F1" w:rsidRDefault="009254F1" w:rsidP="006E59AE">
      <w:pPr>
        <w:pStyle w:val="ListParagraph"/>
        <w:numPr>
          <w:ilvl w:val="0"/>
          <w:numId w:val="16"/>
        </w:numPr>
        <w:spacing w:line="259" w:lineRule="auto"/>
        <w:jc w:val="left"/>
      </w:pPr>
      <w:r w:rsidRPr="003934A4">
        <w:t>A target product profile (TPP) that defines the minimal/ideal profile of the final marketed product.</w:t>
      </w:r>
    </w:p>
    <w:p w14:paraId="258582D8" w14:textId="77777777" w:rsidR="009254F1" w:rsidRPr="003934A4" w:rsidRDefault="009254F1" w:rsidP="006E59AE">
      <w:pPr>
        <w:pStyle w:val="ListParagraph"/>
        <w:numPr>
          <w:ilvl w:val="0"/>
          <w:numId w:val="16"/>
        </w:numPr>
        <w:spacing w:line="259" w:lineRule="auto"/>
        <w:jc w:val="left"/>
      </w:pPr>
      <w:r w:rsidRPr="003934A4">
        <w:t>Description of how the CMIE funding would advance the project towards the ultimate TPP.</w:t>
      </w:r>
    </w:p>
    <w:p w14:paraId="0DF96C9E" w14:textId="77777777" w:rsidR="009254F1" w:rsidRPr="003934A4" w:rsidRDefault="009254F1" w:rsidP="006E59AE">
      <w:pPr>
        <w:pStyle w:val="ListParagraph"/>
        <w:numPr>
          <w:ilvl w:val="0"/>
          <w:numId w:val="16"/>
        </w:numPr>
        <w:spacing w:line="259" w:lineRule="auto"/>
        <w:jc w:val="left"/>
      </w:pPr>
      <w:r w:rsidRPr="003934A4">
        <w:t>Budget (including current and/or anticipated matched funding sources)</w:t>
      </w:r>
    </w:p>
    <w:p w14:paraId="34C89C33" w14:textId="306DBAF2" w:rsidR="009254F1" w:rsidRPr="003934A4" w:rsidRDefault="009254F1" w:rsidP="006E59AE">
      <w:pPr>
        <w:pStyle w:val="ListParagraph"/>
        <w:numPr>
          <w:ilvl w:val="0"/>
          <w:numId w:val="16"/>
        </w:numPr>
        <w:spacing w:line="259" w:lineRule="auto"/>
        <w:jc w:val="left"/>
      </w:pPr>
      <w:r w:rsidRPr="003934A4">
        <w:t>Gantt chart and description of the work</w:t>
      </w:r>
      <w:r w:rsidR="009602C2">
        <w:t>.</w:t>
      </w:r>
    </w:p>
    <w:p w14:paraId="0F1D3037" w14:textId="77777777" w:rsidR="009254F1" w:rsidRPr="003934A4" w:rsidRDefault="009254F1" w:rsidP="006E59AE">
      <w:pPr>
        <w:pStyle w:val="ListParagraph"/>
        <w:numPr>
          <w:ilvl w:val="0"/>
          <w:numId w:val="16"/>
        </w:numPr>
        <w:spacing w:line="259" w:lineRule="auto"/>
        <w:jc w:val="left"/>
      </w:pPr>
      <w:r w:rsidRPr="003934A4">
        <w:t>Description of the status of the technology that will be advanced.</w:t>
      </w:r>
    </w:p>
    <w:p w14:paraId="6DCF5FBB" w14:textId="68D437CE" w:rsidR="009254F1" w:rsidRPr="003934A4" w:rsidRDefault="009254F1" w:rsidP="006E59AE">
      <w:pPr>
        <w:pStyle w:val="ListParagraph"/>
        <w:numPr>
          <w:ilvl w:val="0"/>
          <w:numId w:val="16"/>
        </w:numPr>
        <w:spacing w:line="259" w:lineRule="auto"/>
        <w:jc w:val="left"/>
      </w:pPr>
      <w:r w:rsidRPr="003934A4">
        <w:t>Description of the intellectual property (IP</w:t>
      </w:r>
      <w:r>
        <w:t>)</w:t>
      </w:r>
      <w:r w:rsidR="009602C2">
        <w:t>.</w:t>
      </w:r>
    </w:p>
    <w:p w14:paraId="47987A26" w14:textId="77777777" w:rsidR="009254F1" w:rsidRPr="003934A4" w:rsidRDefault="009254F1" w:rsidP="006E59AE">
      <w:pPr>
        <w:pStyle w:val="ListParagraph"/>
        <w:numPr>
          <w:ilvl w:val="0"/>
          <w:numId w:val="16"/>
        </w:numPr>
        <w:spacing w:line="259" w:lineRule="auto"/>
        <w:jc w:val="left"/>
      </w:pPr>
      <w:r w:rsidRPr="003934A4">
        <w:t>Description of the team/management involved.</w:t>
      </w:r>
    </w:p>
    <w:p w14:paraId="3F92EF54" w14:textId="7CA9AFF9" w:rsidR="009254F1" w:rsidRPr="003934A4" w:rsidRDefault="009254F1" w:rsidP="006E59AE">
      <w:pPr>
        <w:pStyle w:val="ListParagraph"/>
        <w:numPr>
          <w:ilvl w:val="0"/>
          <w:numId w:val="16"/>
        </w:numPr>
        <w:spacing w:line="259" w:lineRule="auto"/>
        <w:jc w:val="left"/>
      </w:pPr>
      <w:r w:rsidRPr="003934A4">
        <w:t>Competition and competitive positioning</w:t>
      </w:r>
      <w:r w:rsidR="009602C2">
        <w:t>.</w:t>
      </w:r>
    </w:p>
    <w:p w14:paraId="02F43619" w14:textId="77777777" w:rsidR="009254F1" w:rsidRPr="003934A4" w:rsidRDefault="009254F1" w:rsidP="006E59AE">
      <w:pPr>
        <w:pStyle w:val="ListParagraph"/>
        <w:numPr>
          <w:ilvl w:val="0"/>
          <w:numId w:val="16"/>
        </w:numPr>
        <w:spacing w:line="259" w:lineRule="auto"/>
        <w:jc w:val="left"/>
      </w:pPr>
      <w:r w:rsidRPr="003934A4">
        <w:t>Expected commercialization strategy.</w:t>
      </w:r>
    </w:p>
    <w:p w14:paraId="6DCC029E" w14:textId="13B77EDF" w:rsidR="009254F1" w:rsidRDefault="009254F1" w:rsidP="009254F1">
      <w:pPr>
        <w:spacing w:after="160" w:line="259" w:lineRule="auto"/>
      </w:pPr>
      <w:r>
        <w:t xml:space="preserve">When completing the application, be aware of the evaluation </w:t>
      </w:r>
      <w:r w:rsidR="005A1336">
        <w:t>criteria</w:t>
      </w:r>
      <w:r>
        <w:t xml:space="preserve"> which reviewers will </w:t>
      </w:r>
      <w:r w:rsidR="001B0E06">
        <w:t>use</w:t>
      </w:r>
      <w:r>
        <w:t xml:space="preserve"> to score your application. </w:t>
      </w:r>
    </w:p>
    <w:p w14:paraId="468D67AE" w14:textId="24AC1196" w:rsidR="009254F1" w:rsidRDefault="009254F1" w:rsidP="009254F1">
      <w:pPr>
        <w:spacing w:after="160" w:line="259" w:lineRule="auto"/>
      </w:pPr>
      <w:r>
        <w:t>Top ranking projects will be selected to proceed to the second stage of the application process, where applicants</w:t>
      </w:r>
      <w:r w:rsidRPr="00083F82">
        <w:t xml:space="preserve"> will be asked to</w:t>
      </w:r>
      <w:r w:rsidR="005B7DAE">
        <w:t xml:space="preserve"> prepare</w:t>
      </w:r>
      <w:r w:rsidRPr="00083F82">
        <w:t xml:space="preserve"> a </w:t>
      </w:r>
      <w:proofErr w:type="gramStart"/>
      <w:r w:rsidR="000B2494">
        <w:t>thirty minute</w:t>
      </w:r>
      <w:proofErr w:type="gramEnd"/>
      <w:r w:rsidRPr="00083F82">
        <w:t xml:space="preserve"> </w:t>
      </w:r>
      <w:r w:rsidRPr="00083F82">
        <w:rPr>
          <w:b/>
          <w:bCs/>
          <w:u w:val="single"/>
        </w:rPr>
        <w:t xml:space="preserve">confidential </w:t>
      </w:r>
      <w:r w:rsidRPr="00083F82">
        <w:t xml:space="preserve">presentation to the Eligible Project Selection Committee which will describe </w:t>
      </w:r>
      <w:proofErr w:type="gramStart"/>
      <w:r w:rsidRPr="00083F82">
        <w:t>in greater detail the project</w:t>
      </w:r>
      <w:proofErr w:type="gramEnd"/>
      <w:r w:rsidRPr="00083F82">
        <w:t>.</w:t>
      </w:r>
    </w:p>
    <w:p w14:paraId="0410E4DF" w14:textId="77777777" w:rsidR="009254F1" w:rsidRDefault="009254F1" w:rsidP="00BC08C0"/>
    <w:p w14:paraId="6F8498AD" w14:textId="5550122C" w:rsidR="009254F1" w:rsidRDefault="0078137D" w:rsidP="009254F1">
      <w:pPr>
        <w:pStyle w:val="Heading1"/>
      </w:pPr>
      <w:bookmarkStart w:id="19" w:name="_Toc153363302"/>
      <w:r>
        <w:t>Review Process and Evaluation Criteria</w:t>
      </w:r>
      <w:bookmarkEnd w:id="19"/>
      <w:r>
        <w:t xml:space="preserve"> </w:t>
      </w:r>
    </w:p>
    <w:p w14:paraId="1C2A0EE6" w14:textId="508D730E" w:rsidR="00D56941" w:rsidRPr="00F47C14" w:rsidRDefault="00D56941" w:rsidP="00D56941">
      <w:r w:rsidRPr="00F47C14">
        <w:t>Upon the call for proposal closing date (</w:t>
      </w:r>
      <w:r w:rsidR="0034487C">
        <w:t>August</w:t>
      </w:r>
      <w:r w:rsidRPr="00F47C14">
        <w:t xml:space="preserve"> </w:t>
      </w:r>
      <w:r w:rsidR="00D30956">
        <w:t>12</w:t>
      </w:r>
      <w:r w:rsidRPr="00F47C14">
        <w:t>, 202</w:t>
      </w:r>
      <w:r w:rsidR="00D30956">
        <w:t>5</w:t>
      </w:r>
      <w:r w:rsidRPr="00F47C14">
        <w:t xml:space="preserve">), a CMIE team member will screen all applications for basic eligibility criteria (See </w:t>
      </w:r>
      <w:r w:rsidRPr="004B72B3">
        <w:rPr>
          <w:b/>
          <w:bCs/>
          <w:i/>
          <w:iCs/>
        </w:rPr>
        <w:t xml:space="preserve">Eligibility and Project Requirements </w:t>
      </w:r>
      <w:r w:rsidRPr="00F47C14">
        <w:t xml:space="preserve">above). If an application does not meet the eligibility criteria, it will not be considered for further review. </w:t>
      </w:r>
    </w:p>
    <w:p w14:paraId="148A3CFD" w14:textId="77777777" w:rsidR="00D56941" w:rsidRPr="00F47C14" w:rsidRDefault="00D56941" w:rsidP="00D56941">
      <w:r w:rsidRPr="00F47C14">
        <w:t xml:space="preserve">Applications that meet the eligibility criteria will be reviewed by the CMIE Eligible Projects Selection Committee according to the Eligibility Criteria shown below. </w:t>
      </w:r>
    </w:p>
    <w:p w14:paraId="16527411" w14:textId="0D4098DF" w:rsidR="00D56941" w:rsidRPr="00F47C14" w:rsidRDefault="00D56941" w:rsidP="00D56941">
      <w:r w:rsidRPr="00F47C14">
        <w:t>Projects will be given a numerical score by at least three reviewers based off the evaluation criter</w:t>
      </w:r>
      <w:r w:rsidR="00100A93">
        <w:t>ia</w:t>
      </w:r>
      <w:r w:rsidRPr="00F47C14">
        <w:t xml:space="preserve">. The average of the three </w:t>
      </w:r>
      <w:r w:rsidR="007879B6" w:rsidRPr="00F47C14">
        <w:t>reviewers’</w:t>
      </w:r>
      <w:r w:rsidRPr="00F47C14">
        <w:t xml:space="preserve"> scores will be taken, as well as the recommendations from each </w:t>
      </w:r>
      <w:r w:rsidR="0043532C" w:rsidRPr="00F47C14">
        <w:t>reviewer about</w:t>
      </w:r>
      <w:r w:rsidRPr="00F47C14">
        <w:t xml:space="preserve"> whether to fund the project or not. This information will be presented to the CMIE Executive Committee. Any proposal with a critical flaw (score of 1-3 in any section) may not be considered for funding, regardless of the project’s average score. </w:t>
      </w:r>
    </w:p>
    <w:p w14:paraId="743B6A34" w14:textId="5F2B4DD8" w:rsidR="00D56941" w:rsidRPr="00F47C14" w:rsidRDefault="00D56941" w:rsidP="00D56941">
      <w:r w:rsidRPr="00F47C14">
        <w:t xml:space="preserve">The CMIE Executive Committee is responsible for endorsing the recommendations from the reviewers and </w:t>
      </w:r>
      <w:r w:rsidR="007879B6" w:rsidRPr="00F47C14">
        <w:t>making</w:t>
      </w:r>
      <w:r w:rsidRPr="00F47C14">
        <w:t xml:space="preserve"> final funding decisions. The Committee will communicate, in writing, the funding decisions to all eligible applicants at the end of the review period. </w:t>
      </w:r>
    </w:p>
    <w:p w14:paraId="5A61030B" w14:textId="3EAA6C2E" w:rsidR="001E3C63" w:rsidRPr="001E3C63" w:rsidRDefault="001E3C63" w:rsidP="001E3C63">
      <w:pPr>
        <w:pStyle w:val="Heading2"/>
      </w:pPr>
      <w:bookmarkStart w:id="20" w:name="_Toc153363303"/>
      <w:r w:rsidRPr="00F47C14">
        <w:lastRenderedPageBreak/>
        <w:t>CMIE Eligible Project Selection Criteria</w:t>
      </w:r>
      <w:bookmarkEnd w:id="20"/>
      <w:r w:rsidRPr="00F47C14">
        <w:t xml:space="preserve"> </w:t>
      </w:r>
    </w:p>
    <w:p w14:paraId="56BEACA3" w14:textId="66A1FF38" w:rsidR="001E3C63" w:rsidRPr="00F47C14" w:rsidRDefault="001E3C63" w:rsidP="006E59AE">
      <w:pPr>
        <w:pStyle w:val="ListParagraph"/>
        <w:numPr>
          <w:ilvl w:val="0"/>
          <w:numId w:val="17"/>
        </w:numPr>
        <w:suppressAutoHyphens/>
        <w:spacing w:after="0" w:line="240" w:lineRule="auto"/>
        <w:contextualSpacing w:val="0"/>
      </w:pPr>
      <w:r w:rsidRPr="00F47C14">
        <w:t xml:space="preserve">Location: researchers and </w:t>
      </w:r>
      <w:r w:rsidR="00500074">
        <w:t>P</w:t>
      </w:r>
      <w:r w:rsidRPr="00F47C14">
        <w:t xml:space="preserve">roject Leads must be from Canadian institutions </w:t>
      </w:r>
      <w:r w:rsidRPr="00297EB9">
        <w:rPr>
          <w:b/>
          <w:bCs/>
        </w:rPr>
        <w:t>(10%)</w:t>
      </w:r>
    </w:p>
    <w:p w14:paraId="6BF1DBC7" w14:textId="77777777" w:rsidR="001E3C63" w:rsidRPr="00F47C14" w:rsidRDefault="001E3C63" w:rsidP="006E59AE">
      <w:pPr>
        <w:pStyle w:val="ListParagraph"/>
        <w:numPr>
          <w:ilvl w:val="1"/>
          <w:numId w:val="17"/>
        </w:numPr>
        <w:suppressAutoHyphens/>
        <w:spacing w:after="0" w:line="240" w:lineRule="auto"/>
        <w:contextualSpacing w:val="0"/>
      </w:pPr>
      <w:r w:rsidRPr="00F47C14">
        <w:t>Projects will provide a “Made in Canada” solution and/or lead to and support future Canadian R&amp;D efforts.</w:t>
      </w:r>
    </w:p>
    <w:p w14:paraId="38895715" w14:textId="77777777" w:rsidR="001E3C63" w:rsidRPr="00F47C14" w:rsidRDefault="001E3C63" w:rsidP="006E59AE">
      <w:pPr>
        <w:pStyle w:val="ListParagraph"/>
        <w:numPr>
          <w:ilvl w:val="1"/>
          <w:numId w:val="17"/>
        </w:numPr>
        <w:suppressAutoHyphens/>
        <w:spacing w:after="0" w:line="240" w:lineRule="auto"/>
        <w:contextualSpacing w:val="0"/>
      </w:pPr>
      <w:r w:rsidRPr="00F47C14">
        <w:t>Potential to overcome a deficiency in Canadian medical isotope production and/or support a Canadian ‘core to clinic’ mentality.</w:t>
      </w:r>
    </w:p>
    <w:p w14:paraId="07DE88CA" w14:textId="77777777" w:rsidR="001E3C63" w:rsidRPr="00F47C14" w:rsidRDefault="001E3C63" w:rsidP="006E59AE">
      <w:pPr>
        <w:pStyle w:val="ListParagraph"/>
        <w:numPr>
          <w:ilvl w:val="1"/>
          <w:numId w:val="17"/>
        </w:numPr>
        <w:suppressAutoHyphens/>
        <w:spacing w:after="0" w:line="240" w:lineRule="auto"/>
        <w:contextualSpacing w:val="0"/>
      </w:pPr>
      <w:r w:rsidRPr="00F47C14">
        <w:t>Potential to attract research dollars and further investment into Canadian organizations and/or further Canada’s position as an international hub for medical isotope research and development.</w:t>
      </w:r>
    </w:p>
    <w:p w14:paraId="7F325DC8" w14:textId="77777777" w:rsidR="001E3C63" w:rsidRPr="00F47C14" w:rsidRDefault="001E3C63" w:rsidP="001E3C63">
      <w:pPr>
        <w:pStyle w:val="ListParagraph"/>
        <w:ind w:left="1080"/>
      </w:pPr>
    </w:p>
    <w:p w14:paraId="4A44CEE5" w14:textId="77777777" w:rsidR="001E3C63" w:rsidRPr="00F47C14" w:rsidRDefault="001E3C63" w:rsidP="006E59AE">
      <w:pPr>
        <w:pStyle w:val="ListParagraph"/>
        <w:numPr>
          <w:ilvl w:val="0"/>
          <w:numId w:val="17"/>
        </w:numPr>
        <w:suppressAutoHyphens/>
        <w:spacing w:after="0" w:line="240" w:lineRule="auto"/>
        <w:contextualSpacing w:val="0"/>
      </w:pPr>
      <w:r w:rsidRPr="00F47C14">
        <w:t xml:space="preserve">Fit: advancing technologies and benefits for medical isotope sectors across Canada </w:t>
      </w:r>
      <w:r w:rsidRPr="00297EB9">
        <w:rPr>
          <w:b/>
          <w:bCs/>
        </w:rPr>
        <w:t>(20%)</w:t>
      </w:r>
    </w:p>
    <w:p w14:paraId="4CC2102A" w14:textId="77777777" w:rsidR="001E3C63" w:rsidRPr="00F47C14" w:rsidRDefault="001E3C63" w:rsidP="006E59AE">
      <w:pPr>
        <w:pStyle w:val="ListParagraph"/>
        <w:numPr>
          <w:ilvl w:val="1"/>
          <w:numId w:val="17"/>
        </w:numPr>
        <w:suppressAutoHyphens/>
        <w:spacing w:after="0" w:line="240" w:lineRule="auto"/>
        <w:contextualSpacing w:val="0"/>
      </w:pPr>
      <w:r w:rsidRPr="00F47C14">
        <w:t>Alignment with technological focus areas of the CMIE</w:t>
      </w:r>
      <w:r>
        <w:t>.</w:t>
      </w:r>
    </w:p>
    <w:p w14:paraId="4BF30774" w14:textId="77777777" w:rsidR="001E3C63" w:rsidRPr="00F47C14" w:rsidRDefault="001E3C63" w:rsidP="006E59AE">
      <w:pPr>
        <w:pStyle w:val="ListParagraph"/>
        <w:numPr>
          <w:ilvl w:val="1"/>
          <w:numId w:val="17"/>
        </w:numPr>
        <w:suppressAutoHyphens/>
        <w:spacing w:after="0" w:line="240" w:lineRule="auto"/>
        <w:contextualSpacing w:val="0"/>
      </w:pPr>
      <w:r w:rsidRPr="00F47C14">
        <w:t>Alignment with the CMIE key performance indicators (KPIs) as outlined in the Network Strategy</w:t>
      </w:r>
      <w:r>
        <w:t>.</w:t>
      </w:r>
    </w:p>
    <w:p w14:paraId="4571D212" w14:textId="77777777" w:rsidR="001E3C63" w:rsidRPr="00F47C14" w:rsidRDefault="001E3C63" w:rsidP="006E59AE">
      <w:pPr>
        <w:pStyle w:val="ListParagraph"/>
        <w:numPr>
          <w:ilvl w:val="1"/>
          <w:numId w:val="17"/>
        </w:numPr>
        <w:suppressAutoHyphens/>
        <w:spacing w:after="0" w:line="240" w:lineRule="auto"/>
        <w:contextualSpacing w:val="0"/>
      </w:pPr>
      <w:r w:rsidRPr="00F47C14">
        <w:t>Contribution to network sustainability</w:t>
      </w:r>
      <w:r>
        <w:t>.</w:t>
      </w:r>
    </w:p>
    <w:p w14:paraId="3A94C9B7" w14:textId="77777777" w:rsidR="001E3C63" w:rsidRPr="00F47C14" w:rsidRDefault="001E3C63" w:rsidP="006E59AE">
      <w:pPr>
        <w:pStyle w:val="ListParagraph"/>
        <w:numPr>
          <w:ilvl w:val="1"/>
          <w:numId w:val="17"/>
        </w:numPr>
        <w:suppressAutoHyphens/>
        <w:spacing w:after="0" w:line="240" w:lineRule="auto"/>
        <w:contextualSpacing w:val="0"/>
      </w:pPr>
      <w:r w:rsidRPr="00F47C14">
        <w:t>Potential to address and/or solve a problem within one or more of the technology focus areas.</w:t>
      </w:r>
    </w:p>
    <w:p w14:paraId="790B4EC3" w14:textId="77777777" w:rsidR="001E3C63" w:rsidRPr="00F47C14" w:rsidRDefault="001E3C63" w:rsidP="001E3C63">
      <w:pPr>
        <w:pStyle w:val="ListParagraph"/>
        <w:ind w:left="1080"/>
      </w:pPr>
    </w:p>
    <w:p w14:paraId="41D99483" w14:textId="77777777" w:rsidR="001E3C63" w:rsidRPr="00F47C14" w:rsidRDefault="001E3C63" w:rsidP="006E59AE">
      <w:pPr>
        <w:pStyle w:val="ListParagraph"/>
        <w:numPr>
          <w:ilvl w:val="0"/>
          <w:numId w:val="17"/>
        </w:numPr>
        <w:suppressAutoHyphens/>
        <w:spacing w:after="0" w:line="240" w:lineRule="auto"/>
        <w:contextualSpacing w:val="0"/>
      </w:pPr>
      <w:r w:rsidRPr="00F47C14">
        <w:t xml:space="preserve">Viability: feasibility and likelihood of success </w:t>
      </w:r>
      <w:r w:rsidRPr="00297EB9">
        <w:rPr>
          <w:b/>
          <w:bCs/>
        </w:rPr>
        <w:t>(30%)</w:t>
      </w:r>
    </w:p>
    <w:p w14:paraId="5323413A" w14:textId="77777777" w:rsidR="001E3C63" w:rsidRPr="00F47C14" w:rsidRDefault="001E3C63" w:rsidP="006E59AE">
      <w:pPr>
        <w:pStyle w:val="ListParagraph"/>
        <w:numPr>
          <w:ilvl w:val="1"/>
          <w:numId w:val="17"/>
        </w:numPr>
        <w:suppressAutoHyphens/>
        <w:spacing w:after="0" w:line="240" w:lineRule="auto"/>
        <w:contextualSpacing w:val="0"/>
      </w:pPr>
      <w:r w:rsidRPr="00F47C14">
        <w:t>Team composition and expertise</w:t>
      </w:r>
      <w:r>
        <w:t>.</w:t>
      </w:r>
    </w:p>
    <w:p w14:paraId="0A8A2D88" w14:textId="77777777" w:rsidR="001E3C63" w:rsidRPr="00F47C14" w:rsidRDefault="001E3C63" w:rsidP="006E59AE">
      <w:pPr>
        <w:pStyle w:val="ListParagraph"/>
        <w:numPr>
          <w:ilvl w:val="1"/>
          <w:numId w:val="17"/>
        </w:numPr>
        <w:suppressAutoHyphens/>
        <w:spacing w:after="0" w:line="240" w:lineRule="auto"/>
        <w:contextualSpacing w:val="0"/>
      </w:pPr>
      <w:r w:rsidRPr="00F47C14">
        <w:t>Available facilities and/or infrastructure</w:t>
      </w:r>
      <w:r>
        <w:t>.</w:t>
      </w:r>
    </w:p>
    <w:p w14:paraId="72017D9D" w14:textId="77777777" w:rsidR="001E3C63" w:rsidRPr="00F47C14" w:rsidRDefault="001E3C63" w:rsidP="006E59AE">
      <w:pPr>
        <w:pStyle w:val="ListParagraph"/>
        <w:numPr>
          <w:ilvl w:val="1"/>
          <w:numId w:val="17"/>
        </w:numPr>
        <w:suppressAutoHyphens/>
        <w:spacing w:after="0" w:line="240" w:lineRule="auto"/>
        <w:contextualSpacing w:val="0"/>
      </w:pPr>
      <w:r w:rsidRPr="00F47C14">
        <w:t>Description of risks and mitigation strategies, as appropriate, including technical, expertise and infrastructure.</w:t>
      </w:r>
    </w:p>
    <w:p w14:paraId="3E3CED9E" w14:textId="77777777" w:rsidR="001E3C63" w:rsidRPr="00F47C14" w:rsidRDefault="001E3C63" w:rsidP="006E59AE">
      <w:pPr>
        <w:pStyle w:val="ListParagraph"/>
        <w:numPr>
          <w:ilvl w:val="1"/>
          <w:numId w:val="17"/>
        </w:numPr>
        <w:suppressAutoHyphens/>
        <w:spacing w:after="0" w:line="240" w:lineRule="auto"/>
        <w:contextualSpacing w:val="0"/>
      </w:pPr>
      <w:r w:rsidRPr="00F47C14">
        <w:t>Identification of or having secured matching funds, required partners and end-users.</w:t>
      </w:r>
    </w:p>
    <w:p w14:paraId="42748A5C" w14:textId="77777777" w:rsidR="001E3C63" w:rsidRPr="00F47C14" w:rsidRDefault="001E3C63" w:rsidP="001E3C63">
      <w:pPr>
        <w:pStyle w:val="ListParagraph"/>
        <w:ind w:left="1080"/>
      </w:pPr>
    </w:p>
    <w:p w14:paraId="0BECBB99" w14:textId="77777777" w:rsidR="001E3C63" w:rsidRPr="00F47C14" w:rsidRDefault="001E3C63" w:rsidP="006E59AE">
      <w:pPr>
        <w:pStyle w:val="ListParagraph"/>
        <w:numPr>
          <w:ilvl w:val="0"/>
          <w:numId w:val="17"/>
        </w:numPr>
        <w:suppressAutoHyphens/>
        <w:spacing w:after="0" w:line="240" w:lineRule="auto"/>
        <w:contextualSpacing w:val="0"/>
      </w:pPr>
      <w:r w:rsidRPr="00F47C14">
        <w:t xml:space="preserve">Potential benefits: ability to generate economic, innovation, and social benefits for Canada </w:t>
      </w:r>
      <w:r w:rsidRPr="00297EB9">
        <w:rPr>
          <w:b/>
          <w:bCs/>
        </w:rPr>
        <w:t>(25%)</w:t>
      </w:r>
    </w:p>
    <w:p w14:paraId="13E59DB3" w14:textId="77777777" w:rsidR="001E3C63" w:rsidRPr="00F47C14" w:rsidRDefault="001E3C63" w:rsidP="006E59AE">
      <w:pPr>
        <w:pStyle w:val="ListParagraph"/>
        <w:numPr>
          <w:ilvl w:val="1"/>
          <w:numId w:val="17"/>
        </w:numPr>
        <w:suppressAutoHyphens/>
        <w:spacing w:after="0" w:line="240" w:lineRule="auto"/>
        <w:contextualSpacing w:val="0"/>
      </w:pPr>
      <w:r w:rsidRPr="00F47C14">
        <w:t>Potential to innovate, develop, validate, demonstrate and/or commercialize new technologies in Canada.</w:t>
      </w:r>
    </w:p>
    <w:p w14:paraId="6ADF8995" w14:textId="77777777" w:rsidR="001E3C63" w:rsidRPr="00F47C14" w:rsidRDefault="001E3C63" w:rsidP="006E59AE">
      <w:pPr>
        <w:pStyle w:val="ListParagraph"/>
        <w:numPr>
          <w:ilvl w:val="1"/>
          <w:numId w:val="17"/>
        </w:numPr>
        <w:suppressAutoHyphens/>
        <w:spacing w:after="0" w:line="240" w:lineRule="auto"/>
        <w:contextualSpacing w:val="0"/>
      </w:pPr>
      <w:r w:rsidRPr="00F47C14">
        <w:t>Involvement of Canadian SMEs and job creation</w:t>
      </w:r>
      <w:r>
        <w:t>.</w:t>
      </w:r>
    </w:p>
    <w:p w14:paraId="1CAE03C1" w14:textId="77777777" w:rsidR="001E3C63" w:rsidRPr="00F47C14" w:rsidRDefault="001E3C63" w:rsidP="006E59AE">
      <w:pPr>
        <w:pStyle w:val="ListParagraph"/>
        <w:numPr>
          <w:ilvl w:val="1"/>
          <w:numId w:val="17"/>
        </w:numPr>
        <w:suppressAutoHyphens/>
        <w:spacing w:after="0" w:line="240" w:lineRule="auto"/>
        <w:contextualSpacing w:val="0"/>
      </w:pPr>
      <w:r w:rsidRPr="00F47C14">
        <w:t>Description of unmet needs and benefits to Canada (e.g., benefits to the healthcare sector, application in other sectors, technology, innovation, and economy).</w:t>
      </w:r>
    </w:p>
    <w:p w14:paraId="5AD2C8DF" w14:textId="77777777" w:rsidR="001E3C63" w:rsidRPr="00F47C14" w:rsidRDefault="001E3C63" w:rsidP="006E59AE">
      <w:pPr>
        <w:pStyle w:val="ListParagraph"/>
        <w:numPr>
          <w:ilvl w:val="1"/>
          <w:numId w:val="17"/>
        </w:numPr>
        <w:suppressAutoHyphens/>
        <w:spacing w:after="0" w:line="240" w:lineRule="auto"/>
        <w:contextualSpacing w:val="0"/>
      </w:pPr>
      <w:r w:rsidRPr="00F47C14">
        <w:t>Potential to create employment opportunities and contribute to Canada’s GDP both during and after the project’s completion.</w:t>
      </w:r>
    </w:p>
    <w:p w14:paraId="6370F0F8" w14:textId="77777777" w:rsidR="001E3C63" w:rsidRPr="00F47C14" w:rsidRDefault="001E3C63" w:rsidP="006E59AE">
      <w:pPr>
        <w:pStyle w:val="ListParagraph"/>
        <w:numPr>
          <w:ilvl w:val="1"/>
          <w:numId w:val="17"/>
        </w:numPr>
        <w:suppressAutoHyphens/>
        <w:spacing w:after="0" w:line="240" w:lineRule="auto"/>
        <w:contextualSpacing w:val="0"/>
      </w:pPr>
      <w:r w:rsidRPr="00F47C14">
        <w:t>Identifiable path to develop significant intellectual property for technology.</w:t>
      </w:r>
    </w:p>
    <w:p w14:paraId="7ED951C0" w14:textId="77777777" w:rsidR="001E3C63" w:rsidRPr="00F47C14" w:rsidRDefault="001E3C63" w:rsidP="001E3C63">
      <w:pPr>
        <w:pStyle w:val="ListParagraph"/>
        <w:ind w:left="1080"/>
      </w:pPr>
    </w:p>
    <w:p w14:paraId="72223606" w14:textId="4789B740" w:rsidR="001E3C63" w:rsidRPr="00F47C14" w:rsidRDefault="001E3C63" w:rsidP="006E59AE">
      <w:pPr>
        <w:pStyle w:val="ListParagraph"/>
        <w:numPr>
          <w:ilvl w:val="0"/>
          <w:numId w:val="17"/>
        </w:numPr>
        <w:suppressAutoHyphens/>
        <w:spacing w:after="0" w:line="240" w:lineRule="auto"/>
        <w:contextualSpacing w:val="0"/>
      </w:pPr>
      <w:r w:rsidRPr="00F47C14">
        <w:t xml:space="preserve">Diversity, </w:t>
      </w:r>
      <w:r w:rsidR="009116E2" w:rsidRPr="00F47C14">
        <w:t>equity,</w:t>
      </w:r>
      <w:r w:rsidRPr="00F47C14">
        <w:t xml:space="preserve"> and inclusion (DEI) considerations and overall impressions of the project </w:t>
      </w:r>
      <w:r w:rsidRPr="00297EB9">
        <w:rPr>
          <w:b/>
          <w:bCs/>
        </w:rPr>
        <w:t>(15%)</w:t>
      </w:r>
    </w:p>
    <w:p w14:paraId="257F6703" w14:textId="77777777" w:rsidR="001E3C63" w:rsidRDefault="001E3C63" w:rsidP="006E59AE">
      <w:pPr>
        <w:pStyle w:val="ListParagraph"/>
        <w:numPr>
          <w:ilvl w:val="1"/>
          <w:numId w:val="17"/>
        </w:numPr>
        <w:suppressAutoHyphens/>
        <w:spacing w:after="0" w:line="240" w:lineRule="auto"/>
        <w:contextualSpacing w:val="0"/>
      </w:pPr>
      <w:r w:rsidRPr="00F47C14">
        <w:t>Potential for improving the representation by underrepresented and equity-seeking groups in the medical isotope sector.</w:t>
      </w:r>
    </w:p>
    <w:p w14:paraId="4732447C" w14:textId="7616DF15" w:rsidR="00977823" w:rsidRPr="00F47C14" w:rsidRDefault="00AA3313" w:rsidP="006E59AE">
      <w:pPr>
        <w:pStyle w:val="ListParagraph"/>
        <w:numPr>
          <w:ilvl w:val="1"/>
          <w:numId w:val="17"/>
        </w:numPr>
        <w:suppressAutoHyphens/>
        <w:spacing w:after="0" w:line="240" w:lineRule="auto"/>
        <w:contextualSpacing w:val="0"/>
      </w:pPr>
      <w:r>
        <w:t xml:space="preserve">The importance of securing CMIEDF </w:t>
      </w:r>
      <w:r w:rsidR="00C472EF">
        <w:t>for the success of the program.</w:t>
      </w:r>
    </w:p>
    <w:p w14:paraId="239FA80C" w14:textId="77777777" w:rsidR="001E3C63" w:rsidRDefault="001E3C63" w:rsidP="001E3C63">
      <w:pPr>
        <w:rPr>
          <w:rFonts w:eastAsia="Century Gothic"/>
          <w:bCs/>
        </w:rPr>
      </w:pPr>
    </w:p>
    <w:p w14:paraId="2607B2F3" w14:textId="77777777" w:rsidR="00C50D98" w:rsidRDefault="00C50D98" w:rsidP="001E3C63">
      <w:pPr>
        <w:rPr>
          <w:rFonts w:eastAsia="Century Gothic"/>
          <w:bCs/>
        </w:rPr>
      </w:pPr>
    </w:p>
    <w:p w14:paraId="23B7AFC1" w14:textId="77777777" w:rsidR="00C50D98" w:rsidRDefault="00C50D98" w:rsidP="001E3C63">
      <w:pPr>
        <w:rPr>
          <w:rFonts w:eastAsia="Century Gothic"/>
          <w:bCs/>
        </w:rPr>
      </w:pPr>
    </w:p>
    <w:p w14:paraId="025F5E37" w14:textId="77777777" w:rsidR="00C50D98" w:rsidRDefault="00C50D98" w:rsidP="001E3C63">
      <w:pPr>
        <w:rPr>
          <w:rFonts w:eastAsia="Century Gothic"/>
          <w:bCs/>
        </w:rPr>
      </w:pPr>
    </w:p>
    <w:p w14:paraId="3EFE928D" w14:textId="439FCB40" w:rsidR="001E3C63" w:rsidRPr="0070155C" w:rsidRDefault="001E3C63" w:rsidP="0070155C">
      <w:pPr>
        <w:pStyle w:val="Heading2"/>
      </w:pPr>
      <w:bookmarkStart w:id="21" w:name="_Toc153363304"/>
      <w:r w:rsidRPr="0070155C">
        <w:lastRenderedPageBreak/>
        <w:t>Evaluation of Eligible Projects</w:t>
      </w:r>
      <w:bookmarkEnd w:id="21"/>
    </w:p>
    <w:p w14:paraId="55F55843" w14:textId="69A7A9C6" w:rsidR="001E3C63" w:rsidRPr="00F47C14" w:rsidRDefault="001E3C63" w:rsidP="001E3C63">
      <w:pPr>
        <w:rPr>
          <w:rFonts w:eastAsia="Century Gothic"/>
          <w:bCs/>
        </w:rPr>
      </w:pPr>
      <w:r w:rsidRPr="00F47C14">
        <w:rPr>
          <w:rFonts w:eastAsia="Century Gothic"/>
        </w:rPr>
        <w:t xml:space="preserve">Following the above criteria, reviewers will evaluate all Eligible Project applications using the rubric below as a guide. </w:t>
      </w:r>
    </w:p>
    <w:tbl>
      <w:tblPr>
        <w:tblStyle w:val="TableGrid"/>
        <w:tblW w:w="0" w:type="auto"/>
        <w:tblLook w:val="04A0" w:firstRow="1" w:lastRow="0" w:firstColumn="1" w:lastColumn="0" w:noHBand="0" w:noVBand="1"/>
      </w:tblPr>
      <w:tblGrid>
        <w:gridCol w:w="2100"/>
        <w:gridCol w:w="1820"/>
        <w:gridCol w:w="1500"/>
        <w:gridCol w:w="1977"/>
        <w:gridCol w:w="1953"/>
      </w:tblGrid>
      <w:tr w:rsidR="001E3C63" w:rsidRPr="00F47C14" w14:paraId="0E051F2E" w14:textId="77777777" w:rsidTr="00A157C2">
        <w:trPr>
          <w:trHeight w:val="266"/>
        </w:trPr>
        <w:tc>
          <w:tcPr>
            <w:tcW w:w="2649" w:type="dxa"/>
            <w:shd w:val="pct20" w:color="auto" w:fill="auto"/>
            <w:tcMar>
              <w:top w:w="57" w:type="dxa"/>
              <w:bottom w:w="57" w:type="dxa"/>
            </w:tcMar>
          </w:tcPr>
          <w:p w14:paraId="4047DFC7" w14:textId="77777777" w:rsidR="001E3C63" w:rsidRPr="00F47C14" w:rsidRDefault="001E3C63" w:rsidP="00A157C2">
            <w:pPr>
              <w:contextualSpacing/>
              <w:jc w:val="center"/>
              <w:rPr>
                <w:b/>
                <w:bCs/>
              </w:rPr>
            </w:pPr>
            <w:r w:rsidRPr="00F47C14">
              <w:rPr>
                <w:b/>
              </w:rPr>
              <w:t>Location</w:t>
            </w:r>
          </w:p>
        </w:tc>
        <w:tc>
          <w:tcPr>
            <w:tcW w:w="2054" w:type="dxa"/>
            <w:shd w:val="pct20" w:color="auto" w:fill="auto"/>
            <w:tcMar>
              <w:top w:w="57" w:type="dxa"/>
              <w:bottom w:w="57" w:type="dxa"/>
            </w:tcMar>
          </w:tcPr>
          <w:p w14:paraId="20609C2D" w14:textId="77777777" w:rsidR="001E3C63" w:rsidRPr="00F47C14" w:rsidRDefault="001E3C63" w:rsidP="00A157C2">
            <w:pPr>
              <w:contextualSpacing/>
              <w:jc w:val="center"/>
              <w:rPr>
                <w:b/>
                <w:bCs/>
              </w:rPr>
            </w:pPr>
            <w:r w:rsidRPr="00F47C14">
              <w:rPr>
                <w:b/>
              </w:rPr>
              <w:t>Fit</w:t>
            </w:r>
          </w:p>
        </w:tc>
        <w:tc>
          <w:tcPr>
            <w:tcW w:w="1500" w:type="dxa"/>
            <w:shd w:val="pct20" w:color="auto" w:fill="auto"/>
            <w:tcMar>
              <w:top w:w="57" w:type="dxa"/>
              <w:bottom w:w="57" w:type="dxa"/>
            </w:tcMar>
          </w:tcPr>
          <w:p w14:paraId="35543DBE" w14:textId="77777777" w:rsidR="001E3C63" w:rsidRPr="00F47C14" w:rsidRDefault="001E3C63" w:rsidP="00A157C2">
            <w:pPr>
              <w:contextualSpacing/>
              <w:jc w:val="center"/>
              <w:rPr>
                <w:b/>
                <w:bCs/>
              </w:rPr>
            </w:pPr>
            <w:r w:rsidRPr="00F47C14">
              <w:rPr>
                <w:b/>
              </w:rPr>
              <w:t>Viability</w:t>
            </w:r>
          </w:p>
        </w:tc>
        <w:tc>
          <w:tcPr>
            <w:tcW w:w="1329" w:type="dxa"/>
            <w:shd w:val="pct20" w:color="auto" w:fill="auto"/>
            <w:tcMar>
              <w:top w:w="57" w:type="dxa"/>
              <w:bottom w:w="57" w:type="dxa"/>
            </w:tcMar>
          </w:tcPr>
          <w:p w14:paraId="7BD1823A" w14:textId="77777777" w:rsidR="001E3C63" w:rsidRPr="00F47C14" w:rsidRDefault="001E3C63" w:rsidP="00A157C2">
            <w:pPr>
              <w:contextualSpacing/>
              <w:jc w:val="center"/>
              <w:rPr>
                <w:b/>
                <w:bCs/>
              </w:rPr>
            </w:pPr>
            <w:r w:rsidRPr="00F47C14">
              <w:rPr>
                <w:b/>
              </w:rPr>
              <w:t>Potential Benefits</w:t>
            </w:r>
          </w:p>
        </w:tc>
        <w:tc>
          <w:tcPr>
            <w:tcW w:w="1818" w:type="dxa"/>
            <w:shd w:val="pct20" w:color="auto" w:fill="auto"/>
            <w:tcMar>
              <w:top w:w="57" w:type="dxa"/>
              <w:bottom w:w="57" w:type="dxa"/>
            </w:tcMar>
          </w:tcPr>
          <w:p w14:paraId="2F7DF3F7" w14:textId="018CA0FB" w:rsidR="001E3C63" w:rsidRPr="00F47C14" w:rsidRDefault="001E3C63" w:rsidP="00A157C2">
            <w:pPr>
              <w:contextualSpacing/>
              <w:jc w:val="center"/>
              <w:rPr>
                <w:b/>
                <w:bCs/>
              </w:rPr>
            </w:pPr>
            <w:r w:rsidRPr="00F47C14">
              <w:rPr>
                <w:b/>
              </w:rPr>
              <w:t>DEI Considerations</w:t>
            </w:r>
            <w:r w:rsidR="00F564D6">
              <w:rPr>
                <w:b/>
              </w:rPr>
              <w:t xml:space="preserve"> &amp;</w:t>
            </w:r>
            <w:r w:rsidR="00382561">
              <w:rPr>
                <w:b/>
              </w:rPr>
              <w:t xml:space="preserve"> Overall Impressions of the Project</w:t>
            </w:r>
          </w:p>
        </w:tc>
      </w:tr>
      <w:tr w:rsidR="001E3C63" w:rsidRPr="00F47C14" w14:paraId="755A7F95" w14:textId="77777777" w:rsidTr="00A157C2">
        <w:trPr>
          <w:trHeight w:val="262"/>
        </w:trPr>
        <w:tc>
          <w:tcPr>
            <w:tcW w:w="2649" w:type="dxa"/>
            <w:tcMar>
              <w:top w:w="57" w:type="dxa"/>
              <w:bottom w:w="57" w:type="dxa"/>
            </w:tcMar>
          </w:tcPr>
          <w:p w14:paraId="7589D005" w14:textId="77777777" w:rsidR="001E3C63" w:rsidRPr="00F47C14" w:rsidRDefault="001E3C63" w:rsidP="00A157C2">
            <w:pPr>
              <w:contextualSpacing/>
            </w:pPr>
            <w:r w:rsidRPr="00F47C14">
              <w:t>Supports future Canadian R&amp;D efforts</w:t>
            </w:r>
          </w:p>
        </w:tc>
        <w:tc>
          <w:tcPr>
            <w:tcW w:w="2054" w:type="dxa"/>
            <w:tcMar>
              <w:top w:w="57" w:type="dxa"/>
              <w:bottom w:w="57" w:type="dxa"/>
            </w:tcMar>
          </w:tcPr>
          <w:p w14:paraId="42FE4561" w14:textId="77777777" w:rsidR="001E3C63" w:rsidRPr="00F47C14" w:rsidRDefault="001E3C63" w:rsidP="00E528F0">
            <w:pPr>
              <w:contextualSpacing/>
              <w:jc w:val="left"/>
            </w:pPr>
            <w:r w:rsidRPr="00F47C14">
              <w:t>Technological focus of project</w:t>
            </w:r>
          </w:p>
        </w:tc>
        <w:tc>
          <w:tcPr>
            <w:tcW w:w="1500" w:type="dxa"/>
            <w:tcMar>
              <w:top w:w="57" w:type="dxa"/>
              <w:bottom w:w="57" w:type="dxa"/>
            </w:tcMar>
          </w:tcPr>
          <w:p w14:paraId="2FB873EE" w14:textId="77777777" w:rsidR="001E3C63" w:rsidRPr="00F47C14" w:rsidRDefault="001E3C63" w:rsidP="00E528F0">
            <w:pPr>
              <w:contextualSpacing/>
              <w:jc w:val="left"/>
            </w:pPr>
            <w:r w:rsidRPr="00F47C14">
              <w:t xml:space="preserve">Team composition </w:t>
            </w:r>
          </w:p>
        </w:tc>
        <w:tc>
          <w:tcPr>
            <w:tcW w:w="1329" w:type="dxa"/>
            <w:tcMar>
              <w:top w:w="57" w:type="dxa"/>
              <w:bottom w:w="57" w:type="dxa"/>
            </w:tcMar>
          </w:tcPr>
          <w:p w14:paraId="52443532" w14:textId="77777777" w:rsidR="001E3C63" w:rsidRPr="00F47C14" w:rsidRDefault="001E3C63" w:rsidP="00E528F0">
            <w:pPr>
              <w:contextualSpacing/>
              <w:jc w:val="left"/>
            </w:pPr>
            <w:r w:rsidRPr="00F47C14">
              <w:t>Innovation and commercialization in Canada</w:t>
            </w:r>
          </w:p>
        </w:tc>
        <w:tc>
          <w:tcPr>
            <w:tcW w:w="1818" w:type="dxa"/>
            <w:tcMar>
              <w:top w:w="57" w:type="dxa"/>
              <w:bottom w:w="57" w:type="dxa"/>
            </w:tcMar>
          </w:tcPr>
          <w:p w14:paraId="1DB9A0CC" w14:textId="77777777" w:rsidR="001E3C63" w:rsidRPr="00F47C14" w:rsidRDefault="001E3C63" w:rsidP="00E528F0">
            <w:pPr>
              <w:contextualSpacing/>
              <w:jc w:val="left"/>
            </w:pPr>
            <w:r w:rsidRPr="00F47C14">
              <w:t>Representation by underrepresented and equity-seeking groups</w:t>
            </w:r>
          </w:p>
        </w:tc>
      </w:tr>
      <w:tr w:rsidR="001E3C63" w:rsidRPr="00F47C14" w14:paraId="3EE300BB" w14:textId="77777777" w:rsidTr="00A157C2">
        <w:trPr>
          <w:trHeight w:val="262"/>
        </w:trPr>
        <w:tc>
          <w:tcPr>
            <w:tcW w:w="2649" w:type="dxa"/>
            <w:tcMar>
              <w:top w:w="57" w:type="dxa"/>
              <w:bottom w:w="57" w:type="dxa"/>
            </w:tcMar>
          </w:tcPr>
          <w:p w14:paraId="2BDD704A" w14:textId="77777777" w:rsidR="001E3C63" w:rsidRPr="00F47C14" w:rsidRDefault="001E3C63" w:rsidP="00A157C2">
            <w:pPr>
              <w:contextualSpacing/>
            </w:pPr>
            <w:r w:rsidRPr="00F47C14">
              <w:t>Overcomes a deficiency in medical isotope production</w:t>
            </w:r>
          </w:p>
        </w:tc>
        <w:tc>
          <w:tcPr>
            <w:tcW w:w="2054" w:type="dxa"/>
            <w:tcMar>
              <w:top w:w="57" w:type="dxa"/>
              <w:bottom w:w="57" w:type="dxa"/>
            </w:tcMar>
          </w:tcPr>
          <w:p w14:paraId="692995C8" w14:textId="77777777" w:rsidR="001E3C63" w:rsidRPr="00F47C14" w:rsidRDefault="001E3C63" w:rsidP="00E528F0">
            <w:pPr>
              <w:contextualSpacing/>
              <w:jc w:val="left"/>
            </w:pPr>
            <w:r w:rsidRPr="00F47C14">
              <w:t>Contribution to network KPIs</w:t>
            </w:r>
          </w:p>
        </w:tc>
        <w:tc>
          <w:tcPr>
            <w:tcW w:w="1500" w:type="dxa"/>
            <w:tcMar>
              <w:top w:w="57" w:type="dxa"/>
              <w:bottom w:w="57" w:type="dxa"/>
            </w:tcMar>
          </w:tcPr>
          <w:p w14:paraId="7B63FDC2" w14:textId="77777777" w:rsidR="001E3C63" w:rsidRPr="00F47C14" w:rsidRDefault="001E3C63" w:rsidP="00E528F0">
            <w:pPr>
              <w:contextualSpacing/>
              <w:jc w:val="left"/>
            </w:pPr>
            <w:r w:rsidRPr="00F47C14">
              <w:t>Facilities and infrastructure</w:t>
            </w:r>
          </w:p>
        </w:tc>
        <w:tc>
          <w:tcPr>
            <w:tcW w:w="1329" w:type="dxa"/>
            <w:tcMar>
              <w:top w:w="57" w:type="dxa"/>
              <w:bottom w:w="57" w:type="dxa"/>
            </w:tcMar>
          </w:tcPr>
          <w:p w14:paraId="460AEF17" w14:textId="77777777" w:rsidR="001E3C63" w:rsidRPr="00F47C14" w:rsidRDefault="001E3C63" w:rsidP="00E528F0">
            <w:pPr>
              <w:contextualSpacing/>
              <w:jc w:val="left"/>
            </w:pPr>
            <w:r w:rsidRPr="00F47C14">
              <w:t>Involvement of SMEs and job creation</w:t>
            </w:r>
          </w:p>
        </w:tc>
        <w:tc>
          <w:tcPr>
            <w:tcW w:w="1818" w:type="dxa"/>
            <w:tcMar>
              <w:top w:w="57" w:type="dxa"/>
              <w:bottom w:w="57" w:type="dxa"/>
            </w:tcMar>
          </w:tcPr>
          <w:p w14:paraId="636732DA" w14:textId="77777777" w:rsidR="00382561" w:rsidRPr="00382561" w:rsidRDefault="00382561" w:rsidP="00382561">
            <w:pPr>
              <w:suppressAutoHyphens/>
              <w:spacing w:after="0"/>
            </w:pPr>
            <w:r w:rsidRPr="00382561">
              <w:t>The importance of securing CMIEDF for the success of the program.</w:t>
            </w:r>
          </w:p>
          <w:p w14:paraId="2C8329B0" w14:textId="77777777" w:rsidR="001E3C63" w:rsidRPr="00F47C14" w:rsidRDefault="001E3C63" w:rsidP="00E528F0">
            <w:pPr>
              <w:contextualSpacing/>
              <w:jc w:val="left"/>
            </w:pPr>
          </w:p>
        </w:tc>
      </w:tr>
      <w:tr w:rsidR="001E3C63" w:rsidRPr="00F47C14" w14:paraId="209DF7EE" w14:textId="77777777" w:rsidTr="00A157C2">
        <w:trPr>
          <w:trHeight w:val="262"/>
        </w:trPr>
        <w:tc>
          <w:tcPr>
            <w:tcW w:w="2649" w:type="dxa"/>
            <w:tcMar>
              <w:top w:w="57" w:type="dxa"/>
              <w:bottom w:w="57" w:type="dxa"/>
            </w:tcMar>
          </w:tcPr>
          <w:p w14:paraId="259FDDD4" w14:textId="77777777" w:rsidR="001E3C63" w:rsidRPr="00F47C14" w:rsidRDefault="001E3C63" w:rsidP="00A157C2">
            <w:pPr>
              <w:contextualSpacing/>
            </w:pPr>
            <w:r w:rsidRPr="00F47C14">
              <w:t>Creates investment into Canadian organizations and/or furthers Canada’s position in medical isotope R&amp;D</w:t>
            </w:r>
          </w:p>
        </w:tc>
        <w:tc>
          <w:tcPr>
            <w:tcW w:w="2054" w:type="dxa"/>
            <w:tcMar>
              <w:top w:w="57" w:type="dxa"/>
              <w:bottom w:w="57" w:type="dxa"/>
            </w:tcMar>
          </w:tcPr>
          <w:p w14:paraId="010DC3F8" w14:textId="77777777" w:rsidR="001E3C63" w:rsidRPr="00F47C14" w:rsidRDefault="001E3C63" w:rsidP="00E528F0">
            <w:pPr>
              <w:contextualSpacing/>
              <w:jc w:val="left"/>
            </w:pPr>
            <w:r w:rsidRPr="00F47C14">
              <w:t>Contribution to network sustainability</w:t>
            </w:r>
          </w:p>
        </w:tc>
        <w:tc>
          <w:tcPr>
            <w:tcW w:w="1500" w:type="dxa"/>
            <w:tcMar>
              <w:top w:w="57" w:type="dxa"/>
              <w:bottom w:w="57" w:type="dxa"/>
            </w:tcMar>
          </w:tcPr>
          <w:p w14:paraId="0823AC2E" w14:textId="77777777" w:rsidR="001E3C63" w:rsidRPr="00F47C14" w:rsidRDefault="001E3C63" w:rsidP="00E528F0">
            <w:pPr>
              <w:contextualSpacing/>
              <w:jc w:val="left"/>
            </w:pPr>
            <w:r w:rsidRPr="00F47C14">
              <w:t>Risks and mitigation strategies</w:t>
            </w:r>
          </w:p>
        </w:tc>
        <w:tc>
          <w:tcPr>
            <w:tcW w:w="1329" w:type="dxa"/>
            <w:tcMar>
              <w:top w:w="57" w:type="dxa"/>
              <w:bottom w:w="57" w:type="dxa"/>
            </w:tcMar>
          </w:tcPr>
          <w:p w14:paraId="5B912532" w14:textId="77777777" w:rsidR="001E3C63" w:rsidRPr="00F47C14" w:rsidRDefault="001E3C63" w:rsidP="00E528F0">
            <w:pPr>
              <w:contextualSpacing/>
              <w:jc w:val="left"/>
            </w:pPr>
            <w:r w:rsidRPr="00F47C14">
              <w:t>Benefits to healthcare and/or other sectors</w:t>
            </w:r>
          </w:p>
        </w:tc>
        <w:tc>
          <w:tcPr>
            <w:tcW w:w="1818" w:type="dxa"/>
            <w:tcMar>
              <w:top w:w="57" w:type="dxa"/>
              <w:bottom w:w="57" w:type="dxa"/>
            </w:tcMar>
          </w:tcPr>
          <w:p w14:paraId="6A4CD540" w14:textId="77777777" w:rsidR="001E3C63" w:rsidRPr="00F47C14" w:rsidRDefault="001E3C63" w:rsidP="00E528F0">
            <w:pPr>
              <w:contextualSpacing/>
              <w:jc w:val="left"/>
            </w:pPr>
          </w:p>
        </w:tc>
      </w:tr>
      <w:tr w:rsidR="001E3C63" w:rsidRPr="00F47C14" w14:paraId="5BD14A7E" w14:textId="77777777" w:rsidTr="00A157C2">
        <w:trPr>
          <w:trHeight w:val="262"/>
        </w:trPr>
        <w:tc>
          <w:tcPr>
            <w:tcW w:w="2649" w:type="dxa"/>
            <w:tcMar>
              <w:top w:w="57" w:type="dxa"/>
              <w:bottom w:w="57" w:type="dxa"/>
            </w:tcMar>
          </w:tcPr>
          <w:p w14:paraId="673D2CB7" w14:textId="77777777" w:rsidR="001E3C63" w:rsidRPr="00F47C14" w:rsidRDefault="001E3C63" w:rsidP="00A157C2">
            <w:pPr>
              <w:contextualSpacing/>
            </w:pPr>
          </w:p>
        </w:tc>
        <w:tc>
          <w:tcPr>
            <w:tcW w:w="2054" w:type="dxa"/>
            <w:tcMar>
              <w:top w:w="57" w:type="dxa"/>
              <w:bottom w:w="57" w:type="dxa"/>
            </w:tcMar>
          </w:tcPr>
          <w:p w14:paraId="30E95EB8" w14:textId="77777777" w:rsidR="001E3C63" w:rsidRPr="00F47C14" w:rsidRDefault="001E3C63" w:rsidP="00E528F0">
            <w:pPr>
              <w:contextualSpacing/>
              <w:jc w:val="left"/>
            </w:pPr>
            <w:r w:rsidRPr="00F47C14">
              <w:t>Addresses and/or solves a problem within at least one technology focus area</w:t>
            </w:r>
          </w:p>
        </w:tc>
        <w:tc>
          <w:tcPr>
            <w:tcW w:w="1500" w:type="dxa"/>
            <w:tcMar>
              <w:top w:w="57" w:type="dxa"/>
              <w:bottom w:w="57" w:type="dxa"/>
            </w:tcMar>
          </w:tcPr>
          <w:p w14:paraId="03E38473" w14:textId="77777777" w:rsidR="001E3C63" w:rsidRPr="00F47C14" w:rsidRDefault="001E3C63" w:rsidP="00E528F0">
            <w:pPr>
              <w:contextualSpacing/>
              <w:jc w:val="left"/>
            </w:pPr>
            <w:r w:rsidRPr="00F47C14">
              <w:t>Other funding sources</w:t>
            </w:r>
          </w:p>
        </w:tc>
        <w:tc>
          <w:tcPr>
            <w:tcW w:w="1329" w:type="dxa"/>
            <w:tcMar>
              <w:top w:w="57" w:type="dxa"/>
              <w:bottom w:w="57" w:type="dxa"/>
            </w:tcMar>
          </w:tcPr>
          <w:p w14:paraId="4A5CEDD1" w14:textId="77777777" w:rsidR="001E3C63" w:rsidRPr="00F47C14" w:rsidRDefault="001E3C63" w:rsidP="00E528F0">
            <w:pPr>
              <w:contextualSpacing/>
              <w:jc w:val="left"/>
            </w:pPr>
            <w:r w:rsidRPr="00F47C14">
              <w:t>Development of intellectual property for technology</w:t>
            </w:r>
          </w:p>
        </w:tc>
        <w:tc>
          <w:tcPr>
            <w:tcW w:w="1818" w:type="dxa"/>
            <w:tcMar>
              <w:top w:w="57" w:type="dxa"/>
              <w:bottom w:w="57" w:type="dxa"/>
            </w:tcMar>
          </w:tcPr>
          <w:p w14:paraId="6A1C540C" w14:textId="77777777" w:rsidR="001E3C63" w:rsidRPr="00F47C14" w:rsidRDefault="001E3C63" w:rsidP="00E528F0">
            <w:pPr>
              <w:contextualSpacing/>
              <w:jc w:val="left"/>
            </w:pPr>
          </w:p>
        </w:tc>
      </w:tr>
    </w:tbl>
    <w:p w14:paraId="0723A077" w14:textId="77777777" w:rsidR="001E3C63" w:rsidRDefault="001E3C63" w:rsidP="001E3C63">
      <w:pPr>
        <w:rPr>
          <w:rFonts w:eastAsia="Century Gothic"/>
          <w:bCs/>
        </w:rPr>
      </w:pPr>
    </w:p>
    <w:p w14:paraId="212746AD" w14:textId="77777777" w:rsidR="007C2DA2" w:rsidRDefault="007C2DA2" w:rsidP="001E3C63">
      <w:pPr>
        <w:rPr>
          <w:rFonts w:eastAsia="Century Gothic"/>
          <w:bCs/>
        </w:rPr>
      </w:pPr>
    </w:p>
    <w:p w14:paraId="745138BA" w14:textId="77777777" w:rsidR="007C2DA2" w:rsidRDefault="007C2DA2" w:rsidP="001E3C63">
      <w:pPr>
        <w:rPr>
          <w:rFonts w:eastAsia="Century Gothic"/>
          <w:bCs/>
        </w:rPr>
      </w:pPr>
    </w:p>
    <w:p w14:paraId="1ABF09C0" w14:textId="77777777" w:rsidR="007C2DA2" w:rsidRDefault="007C2DA2" w:rsidP="001E3C63">
      <w:pPr>
        <w:rPr>
          <w:rFonts w:eastAsia="Century Gothic"/>
          <w:bCs/>
        </w:rPr>
      </w:pPr>
    </w:p>
    <w:p w14:paraId="63C4F176" w14:textId="77777777" w:rsidR="007C2DA2" w:rsidRDefault="007C2DA2" w:rsidP="001E3C63">
      <w:pPr>
        <w:rPr>
          <w:rFonts w:eastAsia="Century Gothic"/>
          <w:bCs/>
        </w:rPr>
      </w:pPr>
    </w:p>
    <w:p w14:paraId="0BBDA73C" w14:textId="77777777" w:rsidR="007C2DA2" w:rsidRDefault="007C2DA2" w:rsidP="001E3C63">
      <w:pPr>
        <w:rPr>
          <w:rFonts w:eastAsia="Century Gothic"/>
          <w:bCs/>
        </w:rPr>
      </w:pPr>
    </w:p>
    <w:p w14:paraId="0012B3DD" w14:textId="77777777" w:rsidR="007C2DA2" w:rsidRDefault="007C2DA2" w:rsidP="001E3C63">
      <w:pPr>
        <w:rPr>
          <w:rFonts w:eastAsia="Century Gothic"/>
          <w:bCs/>
        </w:rPr>
      </w:pPr>
    </w:p>
    <w:p w14:paraId="31824453" w14:textId="77777777" w:rsidR="007C2DA2" w:rsidRDefault="007C2DA2" w:rsidP="001E3C63">
      <w:pPr>
        <w:rPr>
          <w:rFonts w:eastAsia="Century Gothic"/>
          <w:bCs/>
        </w:rPr>
      </w:pPr>
    </w:p>
    <w:p w14:paraId="7AD39508" w14:textId="77777777" w:rsidR="007C2DA2" w:rsidRPr="00F47C14" w:rsidRDefault="007C2DA2" w:rsidP="001E3C63">
      <w:pPr>
        <w:rPr>
          <w:rFonts w:eastAsia="Century Gothic"/>
          <w:bCs/>
        </w:rPr>
      </w:pPr>
    </w:p>
    <w:tbl>
      <w:tblPr>
        <w:tblStyle w:val="TableGrid"/>
        <w:tblW w:w="0" w:type="auto"/>
        <w:tblLook w:val="04A0" w:firstRow="1" w:lastRow="0" w:firstColumn="1" w:lastColumn="0" w:noHBand="0" w:noVBand="1"/>
      </w:tblPr>
      <w:tblGrid>
        <w:gridCol w:w="1980"/>
        <w:gridCol w:w="1984"/>
        <w:gridCol w:w="5386"/>
      </w:tblGrid>
      <w:tr w:rsidR="001E3C63" w:rsidRPr="00F47C14" w14:paraId="7ED4FEC3" w14:textId="77777777" w:rsidTr="00A157C2">
        <w:tc>
          <w:tcPr>
            <w:tcW w:w="1980" w:type="dxa"/>
            <w:shd w:val="pct20" w:color="auto" w:fill="auto"/>
            <w:tcMar>
              <w:top w:w="57" w:type="dxa"/>
              <w:bottom w:w="57" w:type="dxa"/>
            </w:tcMar>
          </w:tcPr>
          <w:p w14:paraId="7CCF9CCA" w14:textId="77777777" w:rsidR="001E3C63" w:rsidRPr="00F47C14" w:rsidRDefault="001E3C63" w:rsidP="00A157C2">
            <w:pPr>
              <w:contextualSpacing/>
              <w:rPr>
                <w:b/>
                <w:bCs/>
              </w:rPr>
            </w:pPr>
            <w:r w:rsidRPr="00F47C14">
              <w:rPr>
                <w:b/>
              </w:rPr>
              <w:t xml:space="preserve">Qualitative Rank </w:t>
            </w:r>
          </w:p>
        </w:tc>
        <w:tc>
          <w:tcPr>
            <w:tcW w:w="1984" w:type="dxa"/>
            <w:shd w:val="pct20" w:color="auto" w:fill="auto"/>
            <w:tcMar>
              <w:top w:w="57" w:type="dxa"/>
              <w:bottom w:w="57" w:type="dxa"/>
            </w:tcMar>
          </w:tcPr>
          <w:p w14:paraId="43BEEDFD" w14:textId="77777777" w:rsidR="001E3C63" w:rsidRPr="00F47C14" w:rsidRDefault="001E3C63" w:rsidP="00A157C2">
            <w:pPr>
              <w:contextualSpacing/>
              <w:rPr>
                <w:b/>
                <w:bCs/>
              </w:rPr>
            </w:pPr>
            <w:r w:rsidRPr="00F47C14">
              <w:rPr>
                <w:b/>
              </w:rPr>
              <w:t>Numerical Rank</w:t>
            </w:r>
          </w:p>
        </w:tc>
        <w:tc>
          <w:tcPr>
            <w:tcW w:w="5386" w:type="dxa"/>
            <w:shd w:val="pct20" w:color="auto" w:fill="auto"/>
            <w:tcMar>
              <w:top w:w="57" w:type="dxa"/>
              <w:bottom w:w="57" w:type="dxa"/>
            </w:tcMar>
          </w:tcPr>
          <w:p w14:paraId="0EBCDF73" w14:textId="77777777" w:rsidR="001E3C63" w:rsidRPr="00F47C14" w:rsidRDefault="001E3C63" w:rsidP="00A157C2">
            <w:pPr>
              <w:contextualSpacing/>
              <w:rPr>
                <w:b/>
                <w:bCs/>
              </w:rPr>
            </w:pPr>
            <w:r w:rsidRPr="00F47C14">
              <w:rPr>
                <w:b/>
              </w:rPr>
              <w:t xml:space="preserve">Description </w:t>
            </w:r>
          </w:p>
        </w:tc>
      </w:tr>
      <w:tr w:rsidR="001E3C63" w:rsidRPr="00F47C14" w14:paraId="1B792548" w14:textId="77777777" w:rsidTr="00A157C2">
        <w:tc>
          <w:tcPr>
            <w:tcW w:w="1980" w:type="dxa"/>
            <w:vMerge w:val="restart"/>
            <w:tcMar>
              <w:top w:w="57" w:type="dxa"/>
              <w:bottom w:w="57" w:type="dxa"/>
            </w:tcMar>
            <w:vAlign w:val="center"/>
          </w:tcPr>
          <w:p w14:paraId="4C3E83B0" w14:textId="77777777" w:rsidR="001E3C63" w:rsidRPr="00F47C14" w:rsidRDefault="001E3C63" w:rsidP="00A157C2">
            <w:pPr>
              <w:contextualSpacing/>
            </w:pPr>
            <w:r w:rsidRPr="00F47C14">
              <w:t>High</w:t>
            </w:r>
          </w:p>
        </w:tc>
        <w:tc>
          <w:tcPr>
            <w:tcW w:w="1984" w:type="dxa"/>
            <w:tcMar>
              <w:top w:w="57" w:type="dxa"/>
              <w:bottom w:w="57" w:type="dxa"/>
            </w:tcMar>
            <w:vAlign w:val="center"/>
          </w:tcPr>
          <w:p w14:paraId="154ED2BA" w14:textId="77777777" w:rsidR="001E3C63" w:rsidRPr="00F47C14" w:rsidRDefault="001E3C63" w:rsidP="00A157C2">
            <w:pPr>
              <w:contextualSpacing/>
            </w:pPr>
            <w:r w:rsidRPr="00F47C14">
              <w:t>8</w:t>
            </w:r>
          </w:p>
        </w:tc>
        <w:tc>
          <w:tcPr>
            <w:tcW w:w="5386" w:type="dxa"/>
            <w:tcMar>
              <w:top w:w="57" w:type="dxa"/>
              <w:bottom w:w="57" w:type="dxa"/>
            </w:tcMar>
          </w:tcPr>
          <w:p w14:paraId="0BF6F09B" w14:textId="77777777" w:rsidR="001E3C63" w:rsidRPr="00F47C14" w:rsidRDefault="001E3C63" w:rsidP="00A157C2">
            <w:pPr>
              <w:contextualSpacing/>
            </w:pPr>
            <w:r w:rsidRPr="00F47C14">
              <w:t>Excellent with no weaknesses identified. Reviewer has very high confidence that the strengths in this criterion will drive the project to be successful.</w:t>
            </w:r>
          </w:p>
        </w:tc>
      </w:tr>
      <w:tr w:rsidR="001E3C63" w:rsidRPr="00F47C14" w14:paraId="55A59FB2" w14:textId="77777777" w:rsidTr="00A157C2">
        <w:tc>
          <w:tcPr>
            <w:tcW w:w="1980" w:type="dxa"/>
            <w:vMerge/>
            <w:tcMar>
              <w:top w:w="57" w:type="dxa"/>
              <w:bottom w:w="57" w:type="dxa"/>
            </w:tcMar>
            <w:vAlign w:val="center"/>
          </w:tcPr>
          <w:p w14:paraId="1197ECC3" w14:textId="77777777" w:rsidR="001E3C63" w:rsidRPr="00F47C14" w:rsidRDefault="001E3C63" w:rsidP="00A157C2">
            <w:pPr>
              <w:contextualSpacing/>
            </w:pPr>
          </w:p>
        </w:tc>
        <w:tc>
          <w:tcPr>
            <w:tcW w:w="1984" w:type="dxa"/>
            <w:tcMar>
              <w:top w:w="57" w:type="dxa"/>
              <w:bottom w:w="57" w:type="dxa"/>
            </w:tcMar>
            <w:vAlign w:val="center"/>
          </w:tcPr>
          <w:p w14:paraId="0C62B1C3" w14:textId="77777777" w:rsidR="001E3C63" w:rsidRPr="00F47C14" w:rsidRDefault="001E3C63" w:rsidP="00A157C2">
            <w:pPr>
              <w:contextualSpacing/>
            </w:pPr>
            <w:r w:rsidRPr="00F47C14">
              <w:t>7</w:t>
            </w:r>
          </w:p>
        </w:tc>
        <w:tc>
          <w:tcPr>
            <w:tcW w:w="5386" w:type="dxa"/>
            <w:tcMar>
              <w:top w:w="57" w:type="dxa"/>
              <w:bottom w:w="57" w:type="dxa"/>
            </w:tcMar>
          </w:tcPr>
          <w:p w14:paraId="414A2CCE" w14:textId="77777777" w:rsidR="001E3C63" w:rsidRPr="00F47C14" w:rsidRDefault="001E3C63" w:rsidP="00A157C2">
            <w:pPr>
              <w:contextualSpacing/>
            </w:pPr>
            <w:r w:rsidRPr="00F47C14">
              <w:t>Excellent with minor weaknesses identified. Reviewer has high confidence that, with slight improvements, the strengths in this criterion could drive the project to be successful.</w:t>
            </w:r>
          </w:p>
        </w:tc>
      </w:tr>
      <w:tr w:rsidR="001E3C63" w:rsidRPr="00F47C14" w14:paraId="1C82DB9F" w14:textId="77777777" w:rsidTr="00A157C2">
        <w:tc>
          <w:tcPr>
            <w:tcW w:w="1980" w:type="dxa"/>
            <w:vMerge w:val="restart"/>
            <w:tcMar>
              <w:top w:w="57" w:type="dxa"/>
              <w:bottom w:w="57" w:type="dxa"/>
            </w:tcMar>
            <w:vAlign w:val="center"/>
          </w:tcPr>
          <w:p w14:paraId="4DEC46BB" w14:textId="77777777" w:rsidR="001E3C63" w:rsidRPr="00F47C14" w:rsidRDefault="001E3C63" w:rsidP="00A157C2">
            <w:pPr>
              <w:contextualSpacing/>
            </w:pPr>
            <w:r w:rsidRPr="00F47C14">
              <w:t xml:space="preserve">Medium </w:t>
            </w:r>
          </w:p>
        </w:tc>
        <w:tc>
          <w:tcPr>
            <w:tcW w:w="1984" w:type="dxa"/>
            <w:tcMar>
              <w:top w:w="57" w:type="dxa"/>
              <w:bottom w:w="57" w:type="dxa"/>
            </w:tcMar>
            <w:vAlign w:val="center"/>
          </w:tcPr>
          <w:p w14:paraId="7C625051" w14:textId="77777777" w:rsidR="001E3C63" w:rsidRPr="00F47C14" w:rsidRDefault="001E3C63" w:rsidP="00A157C2">
            <w:pPr>
              <w:contextualSpacing/>
            </w:pPr>
            <w:r w:rsidRPr="00F47C14">
              <w:t>6</w:t>
            </w:r>
          </w:p>
        </w:tc>
        <w:tc>
          <w:tcPr>
            <w:tcW w:w="5386" w:type="dxa"/>
            <w:tcMar>
              <w:top w:w="57" w:type="dxa"/>
              <w:bottom w:w="57" w:type="dxa"/>
            </w:tcMar>
          </w:tcPr>
          <w:p w14:paraId="62B03234" w14:textId="77777777" w:rsidR="001E3C63" w:rsidRPr="00F47C14" w:rsidRDefault="001E3C63" w:rsidP="00A157C2">
            <w:pPr>
              <w:contextualSpacing/>
            </w:pPr>
            <w:r w:rsidRPr="00F47C14">
              <w:t>Very good with minor weaknesses identified. The reviewer has confidence that, with moderate improvements, the strengths in this criterion could drive the project to be successful.</w:t>
            </w:r>
          </w:p>
        </w:tc>
      </w:tr>
      <w:tr w:rsidR="001E3C63" w:rsidRPr="00F47C14" w14:paraId="393D05D5" w14:textId="77777777" w:rsidTr="00A157C2">
        <w:tc>
          <w:tcPr>
            <w:tcW w:w="1980" w:type="dxa"/>
            <w:vMerge/>
            <w:tcMar>
              <w:top w:w="57" w:type="dxa"/>
              <w:bottom w:w="57" w:type="dxa"/>
            </w:tcMar>
            <w:vAlign w:val="center"/>
          </w:tcPr>
          <w:p w14:paraId="6330175C" w14:textId="77777777" w:rsidR="001E3C63" w:rsidRPr="00F47C14" w:rsidRDefault="001E3C63" w:rsidP="00A157C2">
            <w:pPr>
              <w:contextualSpacing/>
            </w:pPr>
          </w:p>
        </w:tc>
        <w:tc>
          <w:tcPr>
            <w:tcW w:w="1984" w:type="dxa"/>
            <w:tcMar>
              <w:top w:w="57" w:type="dxa"/>
              <w:bottom w:w="57" w:type="dxa"/>
            </w:tcMar>
            <w:vAlign w:val="center"/>
          </w:tcPr>
          <w:p w14:paraId="46FD11E4" w14:textId="77777777" w:rsidR="001E3C63" w:rsidRPr="00F47C14" w:rsidRDefault="001E3C63" w:rsidP="00A157C2">
            <w:pPr>
              <w:contextualSpacing/>
            </w:pPr>
            <w:r w:rsidRPr="00F47C14">
              <w:t>5</w:t>
            </w:r>
          </w:p>
        </w:tc>
        <w:tc>
          <w:tcPr>
            <w:tcW w:w="5386" w:type="dxa"/>
            <w:tcMar>
              <w:top w:w="57" w:type="dxa"/>
              <w:bottom w:w="57" w:type="dxa"/>
            </w:tcMar>
          </w:tcPr>
          <w:p w14:paraId="75A44020" w14:textId="77777777" w:rsidR="001E3C63" w:rsidRPr="00F47C14" w:rsidRDefault="001E3C63" w:rsidP="00A157C2">
            <w:pPr>
              <w:contextualSpacing/>
            </w:pPr>
            <w:r w:rsidRPr="00F47C14">
              <w:t xml:space="preserve">Very good with moderate weaknesses identified. The reviewer has confidence that, with moderate improvements, the strengths in this criterion could drive the project to be successful. </w:t>
            </w:r>
          </w:p>
        </w:tc>
      </w:tr>
      <w:tr w:rsidR="001E3C63" w:rsidRPr="00F47C14" w14:paraId="207C0534" w14:textId="77777777" w:rsidTr="00A157C2">
        <w:tc>
          <w:tcPr>
            <w:tcW w:w="1980" w:type="dxa"/>
            <w:vMerge/>
            <w:tcMar>
              <w:top w:w="57" w:type="dxa"/>
              <w:bottom w:w="57" w:type="dxa"/>
            </w:tcMar>
            <w:vAlign w:val="center"/>
          </w:tcPr>
          <w:p w14:paraId="7515A01B" w14:textId="77777777" w:rsidR="001E3C63" w:rsidRPr="00F47C14" w:rsidRDefault="001E3C63" w:rsidP="00A157C2">
            <w:pPr>
              <w:contextualSpacing/>
            </w:pPr>
          </w:p>
        </w:tc>
        <w:tc>
          <w:tcPr>
            <w:tcW w:w="1984" w:type="dxa"/>
            <w:tcMar>
              <w:top w:w="57" w:type="dxa"/>
              <w:bottom w:w="57" w:type="dxa"/>
            </w:tcMar>
            <w:vAlign w:val="center"/>
          </w:tcPr>
          <w:p w14:paraId="59AC22F1" w14:textId="77777777" w:rsidR="001E3C63" w:rsidRPr="00F47C14" w:rsidRDefault="001E3C63" w:rsidP="00A157C2">
            <w:pPr>
              <w:contextualSpacing/>
            </w:pPr>
            <w:r w:rsidRPr="00F47C14">
              <w:t>4</w:t>
            </w:r>
          </w:p>
        </w:tc>
        <w:tc>
          <w:tcPr>
            <w:tcW w:w="5386" w:type="dxa"/>
            <w:tcMar>
              <w:top w:w="57" w:type="dxa"/>
              <w:bottom w:w="57" w:type="dxa"/>
            </w:tcMar>
          </w:tcPr>
          <w:p w14:paraId="3BC57090" w14:textId="77777777" w:rsidR="001E3C63" w:rsidRPr="00F47C14" w:rsidRDefault="001E3C63" w:rsidP="00A157C2">
            <w:pPr>
              <w:contextualSpacing/>
            </w:pPr>
            <w:r w:rsidRPr="00F47C14">
              <w:t>Good with moderate weaknesses identified. The reviewer has some confidence that, with some necessary improvements, the strengths in this criterion could be enough to drive the project to be successful.</w:t>
            </w:r>
          </w:p>
        </w:tc>
      </w:tr>
      <w:tr w:rsidR="001E3C63" w:rsidRPr="00F47C14" w14:paraId="76F277A9" w14:textId="77777777" w:rsidTr="00A157C2">
        <w:tc>
          <w:tcPr>
            <w:tcW w:w="1980" w:type="dxa"/>
            <w:vMerge w:val="restart"/>
            <w:tcMar>
              <w:top w:w="57" w:type="dxa"/>
              <w:bottom w:w="57" w:type="dxa"/>
            </w:tcMar>
            <w:vAlign w:val="center"/>
          </w:tcPr>
          <w:p w14:paraId="50E05AE8" w14:textId="77777777" w:rsidR="001E3C63" w:rsidRPr="00F47C14" w:rsidRDefault="001E3C63" w:rsidP="00A157C2">
            <w:pPr>
              <w:contextualSpacing/>
            </w:pPr>
            <w:r w:rsidRPr="00F47C14">
              <w:t xml:space="preserve">Low </w:t>
            </w:r>
          </w:p>
        </w:tc>
        <w:tc>
          <w:tcPr>
            <w:tcW w:w="1984" w:type="dxa"/>
            <w:tcMar>
              <w:top w:w="57" w:type="dxa"/>
              <w:bottom w:w="57" w:type="dxa"/>
            </w:tcMar>
            <w:vAlign w:val="center"/>
          </w:tcPr>
          <w:p w14:paraId="4A0C46E7" w14:textId="77777777" w:rsidR="001E3C63" w:rsidRPr="00F47C14" w:rsidRDefault="001E3C63" w:rsidP="00A157C2">
            <w:pPr>
              <w:contextualSpacing/>
            </w:pPr>
            <w:r w:rsidRPr="00F47C14">
              <w:t>3</w:t>
            </w:r>
          </w:p>
        </w:tc>
        <w:tc>
          <w:tcPr>
            <w:tcW w:w="5386" w:type="dxa"/>
            <w:tcMar>
              <w:top w:w="57" w:type="dxa"/>
              <w:bottom w:w="57" w:type="dxa"/>
            </w:tcMar>
          </w:tcPr>
          <w:p w14:paraId="5408F6D7" w14:textId="77777777" w:rsidR="001E3C63" w:rsidRPr="00F47C14" w:rsidRDefault="001E3C63" w:rsidP="00A157C2">
            <w:pPr>
              <w:contextualSpacing/>
            </w:pPr>
            <w:r w:rsidRPr="00F47C14">
              <w:t>Fair with moderate weaknesses identified. The reviewer is not confident that the strengths in this criterion would be enough to drive the project to be successful.</w:t>
            </w:r>
          </w:p>
        </w:tc>
      </w:tr>
      <w:tr w:rsidR="001E3C63" w:rsidRPr="00F47C14" w14:paraId="0789222B" w14:textId="77777777" w:rsidTr="00A157C2">
        <w:tc>
          <w:tcPr>
            <w:tcW w:w="1980" w:type="dxa"/>
            <w:vMerge/>
            <w:tcMar>
              <w:top w:w="57" w:type="dxa"/>
              <w:bottom w:w="57" w:type="dxa"/>
            </w:tcMar>
            <w:vAlign w:val="center"/>
          </w:tcPr>
          <w:p w14:paraId="4EE57B44" w14:textId="77777777" w:rsidR="001E3C63" w:rsidRPr="00F47C14" w:rsidRDefault="001E3C63" w:rsidP="00A157C2">
            <w:pPr>
              <w:contextualSpacing/>
            </w:pPr>
          </w:p>
        </w:tc>
        <w:tc>
          <w:tcPr>
            <w:tcW w:w="1984" w:type="dxa"/>
            <w:tcMar>
              <w:top w:w="57" w:type="dxa"/>
              <w:bottom w:w="57" w:type="dxa"/>
            </w:tcMar>
            <w:vAlign w:val="center"/>
          </w:tcPr>
          <w:p w14:paraId="54B6B6B2" w14:textId="77777777" w:rsidR="001E3C63" w:rsidRPr="00F47C14" w:rsidRDefault="001E3C63" w:rsidP="00A157C2">
            <w:pPr>
              <w:contextualSpacing/>
            </w:pPr>
            <w:r w:rsidRPr="00F47C14">
              <w:t>2</w:t>
            </w:r>
          </w:p>
        </w:tc>
        <w:tc>
          <w:tcPr>
            <w:tcW w:w="5386" w:type="dxa"/>
            <w:tcMar>
              <w:top w:w="57" w:type="dxa"/>
              <w:bottom w:w="57" w:type="dxa"/>
            </w:tcMar>
          </w:tcPr>
          <w:p w14:paraId="008BA016" w14:textId="77777777" w:rsidR="001E3C63" w:rsidRPr="00F47C14" w:rsidRDefault="001E3C63" w:rsidP="00A157C2">
            <w:pPr>
              <w:contextualSpacing/>
            </w:pPr>
            <w:r w:rsidRPr="00F47C14">
              <w:t>Poor with moderate to major weaknesses identified. The proposal does not address the aspects in this criterion, does not demonstrate strengths needed for success, and/or shows uncorrectable flaws and weaknesses. Based on this criterion, the reviewer believes this proposal is not fundable.</w:t>
            </w:r>
          </w:p>
        </w:tc>
      </w:tr>
      <w:tr w:rsidR="001E3C63" w:rsidRPr="00F47C14" w14:paraId="6BC70F21" w14:textId="77777777" w:rsidTr="00A157C2">
        <w:tc>
          <w:tcPr>
            <w:tcW w:w="1980" w:type="dxa"/>
            <w:vMerge/>
            <w:tcMar>
              <w:top w:w="57" w:type="dxa"/>
              <w:bottom w:w="57" w:type="dxa"/>
            </w:tcMar>
            <w:vAlign w:val="center"/>
          </w:tcPr>
          <w:p w14:paraId="32F08B9D" w14:textId="77777777" w:rsidR="001E3C63" w:rsidRPr="00F47C14" w:rsidRDefault="001E3C63" w:rsidP="00A157C2">
            <w:pPr>
              <w:contextualSpacing/>
            </w:pPr>
          </w:p>
        </w:tc>
        <w:tc>
          <w:tcPr>
            <w:tcW w:w="1984" w:type="dxa"/>
            <w:tcMar>
              <w:top w:w="57" w:type="dxa"/>
              <w:bottom w:w="57" w:type="dxa"/>
            </w:tcMar>
            <w:vAlign w:val="center"/>
          </w:tcPr>
          <w:p w14:paraId="5128C9A8" w14:textId="77777777" w:rsidR="001E3C63" w:rsidRPr="00F47C14" w:rsidRDefault="001E3C63" w:rsidP="00A157C2">
            <w:pPr>
              <w:contextualSpacing/>
            </w:pPr>
            <w:r w:rsidRPr="00F47C14">
              <w:t>1</w:t>
            </w:r>
          </w:p>
        </w:tc>
        <w:tc>
          <w:tcPr>
            <w:tcW w:w="5386" w:type="dxa"/>
            <w:tcMar>
              <w:top w:w="57" w:type="dxa"/>
              <w:bottom w:w="57" w:type="dxa"/>
            </w:tcMar>
          </w:tcPr>
          <w:p w14:paraId="24CD1C65" w14:textId="77777777" w:rsidR="001E3C63" w:rsidRPr="00F47C14" w:rsidRDefault="001E3C63" w:rsidP="00A157C2">
            <w:pPr>
              <w:contextualSpacing/>
            </w:pPr>
            <w:r w:rsidRPr="00F47C14">
              <w:t>Poor with major weaknesses identified. The proposal does not address the aspects in this criterion, does not demonstrate strengths needed for success, and/or shows uncorrectable flaws and weaknesses. Based on this criterion, the reviewer believes this proposal is not fundable.</w:t>
            </w:r>
          </w:p>
        </w:tc>
      </w:tr>
    </w:tbl>
    <w:p w14:paraId="3C68229D" w14:textId="62330FA0" w:rsidR="0046426F" w:rsidRDefault="0046426F" w:rsidP="00BC08C0"/>
    <w:p w14:paraId="45CD2927" w14:textId="77777777" w:rsidR="00123BA5" w:rsidRDefault="00123BA5" w:rsidP="00BC08C0"/>
    <w:p w14:paraId="2EC689D9" w14:textId="27E54FC3" w:rsidR="00123BA5" w:rsidRDefault="00123BA5" w:rsidP="00123BA5">
      <w:pPr>
        <w:pStyle w:val="Heading1"/>
      </w:pPr>
      <w:bookmarkStart w:id="22" w:name="_Toc153363305"/>
      <w:r>
        <w:lastRenderedPageBreak/>
        <w:t>Appendix A: Technology Readiness Levels (TRL)</w:t>
      </w:r>
      <w:bookmarkEnd w:id="22"/>
    </w:p>
    <w:tbl>
      <w:tblPr>
        <w:tblStyle w:val="TableGrid"/>
        <w:tblW w:w="0" w:type="auto"/>
        <w:tblLayout w:type="fixed"/>
        <w:tblLook w:val="04A0" w:firstRow="1" w:lastRow="0" w:firstColumn="1" w:lastColumn="0" w:noHBand="0" w:noVBand="1"/>
      </w:tblPr>
      <w:tblGrid>
        <w:gridCol w:w="4680"/>
        <w:gridCol w:w="4680"/>
      </w:tblGrid>
      <w:tr w:rsidR="00123BA5" w:rsidRPr="00083F82" w14:paraId="7CCFF3BF" w14:textId="77777777" w:rsidTr="00BE6FC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1A304F4" w14:textId="77777777" w:rsidR="00123BA5" w:rsidRPr="00083F82" w:rsidRDefault="00123BA5" w:rsidP="00BE6FC7">
            <w:pPr>
              <w:rPr>
                <w:rFonts w:eastAsia="Calibri"/>
              </w:rPr>
            </w:pPr>
            <w:r w:rsidRPr="00083F82">
              <w:rPr>
                <w:rFonts w:eastAsia="Calibri"/>
              </w:rPr>
              <w:t>Technology Readiness Level (TRL)</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601C42E" w14:textId="77777777" w:rsidR="00123BA5" w:rsidRPr="00083F82" w:rsidRDefault="00123BA5" w:rsidP="00BE6FC7">
            <w:pPr>
              <w:rPr>
                <w:rFonts w:eastAsia="Calibri"/>
              </w:rPr>
            </w:pPr>
            <w:r w:rsidRPr="00083F82">
              <w:rPr>
                <w:rFonts w:eastAsia="Calibri"/>
              </w:rPr>
              <w:t>Description</w:t>
            </w:r>
          </w:p>
        </w:tc>
      </w:tr>
      <w:tr w:rsidR="00123BA5" w:rsidRPr="00083F82" w14:paraId="76BCE356" w14:textId="77777777" w:rsidTr="00BE6FC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0C6DAD3" w14:textId="77777777" w:rsidR="00123BA5" w:rsidRPr="00083F82" w:rsidRDefault="00123BA5" w:rsidP="00BE6FC7">
            <w:pPr>
              <w:rPr>
                <w:rFonts w:eastAsia="Calibri"/>
              </w:rPr>
            </w:pPr>
            <w:r w:rsidRPr="00083F82">
              <w:rPr>
                <w:rFonts w:eastAsia="Calibri"/>
              </w:rPr>
              <w:t>TRL 1—Basic principles observed and reported</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7C5B4FA" w14:textId="77777777" w:rsidR="00123BA5" w:rsidRPr="00083F82" w:rsidRDefault="00123BA5" w:rsidP="00BE6FC7">
            <w:pPr>
              <w:rPr>
                <w:rFonts w:eastAsia="Calibri"/>
              </w:rPr>
            </w:pPr>
            <w:r w:rsidRPr="00083F82">
              <w:rPr>
                <w:rFonts w:eastAsia="Calibri"/>
              </w:rPr>
              <w:t>Lowest level of technology readiness. Scientific research begins to be translated into applied R&amp;D. Examples might include paper studies of a technology's basic properties.</w:t>
            </w:r>
          </w:p>
        </w:tc>
      </w:tr>
      <w:tr w:rsidR="00123BA5" w:rsidRPr="00083F82" w14:paraId="4B92ACE0" w14:textId="77777777" w:rsidTr="00BE6FC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76A58A5" w14:textId="77777777" w:rsidR="00123BA5" w:rsidRPr="00083F82" w:rsidRDefault="00123BA5" w:rsidP="00BE6FC7">
            <w:pPr>
              <w:rPr>
                <w:rFonts w:eastAsia="Calibri"/>
              </w:rPr>
            </w:pPr>
            <w:r w:rsidRPr="00083F82">
              <w:rPr>
                <w:rFonts w:eastAsia="Calibri"/>
              </w:rPr>
              <w:t>TRL 2—Technology concept and/or application formulated Invention begins.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5D79C43" w14:textId="77777777" w:rsidR="00123BA5" w:rsidRPr="00083F82" w:rsidRDefault="00123BA5" w:rsidP="00BE6FC7">
            <w:pPr>
              <w:rPr>
                <w:rFonts w:eastAsia="Calibri"/>
              </w:rPr>
            </w:pPr>
            <w:r w:rsidRPr="00083F82">
              <w:rPr>
                <w:rFonts w:eastAsia="Calibri"/>
              </w:rPr>
              <w:t xml:space="preserve">Once basic principles are observed, practical applications can be invented. Applications are speculative, and there may be no proof or detailed analysis to support the assumptions. </w:t>
            </w:r>
          </w:p>
        </w:tc>
      </w:tr>
      <w:tr w:rsidR="00123BA5" w:rsidRPr="00083F82" w14:paraId="3DC3FA29" w14:textId="77777777" w:rsidTr="00BE6FC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4FEF4DA" w14:textId="77777777" w:rsidR="00123BA5" w:rsidRPr="00083F82" w:rsidRDefault="00123BA5" w:rsidP="00BE6FC7">
            <w:pPr>
              <w:rPr>
                <w:rFonts w:eastAsia="Calibri"/>
              </w:rPr>
            </w:pPr>
            <w:r w:rsidRPr="00083F82">
              <w:rPr>
                <w:rFonts w:eastAsia="Calibri"/>
              </w:rPr>
              <w:t>TRL 3—Analytical and experimental critical function and/or characteristic proof of concept</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404231D" w14:textId="77777777" w:rsidR="00123BA5" w:rsidRPr="00083F82" w:rsidRDefault="00123BA5" w:rsidP="00BE6FC7">
            <w:pPr>
              <w:rPr>
                <w:rFonts w:eastAsia="Calibri"/>
              </w:rPr>
            </w:pPr>
            <w:r w:rsidRPr="00083F82">
              <w:rPr>
                <w:rFonts w:eastAsia="Calibri"/>
              </w:rPr>
              <w:t>Active R&amp;D is initiated. This includes analytical studies and laboratory studies to physically validate the analytical predictions of separate elements of the technology.</w:t>
            </w:r>
          </w:p>
        </w:tc>
      </w:tr>
      <w:tr w:rsidR="00123BA5" w:rsidRPr="00083F82" w14:paraId="5639F7E5" w14:textId="77777777" w:rsidTr="00BE6FC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260BC94" w14:textId="77777777" w:rsidR="00123BA5" w:rsidRPr="00083F82" w:rsidRDefault="00123BA5" w:rsidP="00BE6FC7">
            <w:pPr>
              <w:rPr>
                <w:rFonts w:eastAsia="Calibri"/>
              </w:rPr>
            </w:pPr>
            <w:r w:rsidRPr="00083F82">
              <w:rPr>
                <w:rFonts w:eastAsia="Calibri"/>
              </w:rPr>
              <w:t>TRL 4—Product and/or process validation in laboratory environment</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42F50C1" w14:textId="77777777" w:rsidR="00123BA5" w:rsidRPr="00083F82" w:rsidRDefault="00123BA5" w:rsidP="00BE6FC7">
            <w:pPr>
              <w:rPr>
                <w:rFonts w:eastAsia="Calibri"/>
              </w:rPr>
            </w:pPr>
            <w:r w:rsidRPr="00083F82">
              <w:rPr>
                <w:rFonts w:eastAsia="Calibri"/>
              </w:rPr>
              <w:t>Basic technological products and/or processes are tested to establish that they will work.</w:t>
            </w:r>
          </w:p>
        </w:tc>
      </w:tr>
      <w:tr w:rsidR="00123BA5" w:rsidRPr="00083F82" w14:paraId="529AF538" w14:textId="77777777" w:rsidTr="00BE6FC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8E7E8BB" w14:textId="77777777" w:rsidR="00123BA5" w:rsidRPr="00083F82" w:rsidRDefault="00123BA5" w:rsidP="00BE6FC7">
            <w:pPr>
              <w:rPr>
                <w:rFonts w:eastAsia="Calibri"/>
              </w:rPr>
            </w:pPr>
            <w:r w:rsidRPr="00083F82">
              <w:rPr>
                <w:rFonts w:eastAsia="Calibri"/>
              </w:rPr>
              <w:t>TRL 5—Product and/or process validation in relevant environment</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3D80DEC" w14:textId="77777777" w:rsidR="00123BA5" w:rsidRPr="00083F82" w:rsidRDefault="00123BA5" w:rsidP="00BE6FC7">
            <w:pPr>
              <w:rPr>
                <w:rFonts w:eastAsia="Calibri"/>
              </w:rPr>
            </w:pPr>
            <w:r w:rsidRPr="00083F82">
              <w:rPr>
                <w:rFonts w:eastAsia="Calibri"/>
              </w:rPr>
              <w:t>Reliability of product and/or process innovation increases significantly. The basic products and/or processes are integrated so they can be tested in a simulated environment.</w:t>
            </w:r>
          </w:p>
        </w:tc>
      </w:tr>
      <w:tr w:rsidR="00123BA5" w:rsidRPr="00083F82" w14:paraId="78CB330A" w14:textId="77777777" w:rsidTr="00BE6FC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DBE410F" w14:textId="77777777" w:rsidR="00123BA5" w:rsidRPr="00083F82" w:rsidRDefault="00123BA5" w:rsidP="00BE6FC7">
            <w:pPr>
              <w:rPr>
                <w:rFonts w:eastAsia="Calibri"/>
              </w:rPr>
            </w:pPr>
            <w:r w:rsidRPr="00083F82">
              <w:rPr>
                <w:rFonts w:eastAsia="Calibri"/>
              </w:rPr>
              <w:t>TRL 6—Product and/or process prototype demonstration in a relevant environment</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6D29C84" w14:textId="77777777" w:rsidR="00123BA5" w:rsidRPr="00083F82" w:rsidRDefault="00123BA5" w:rsidP="00BE6FC7">
            <w:pPr>
              <w:rPr>
                <w:rFonts w:eastAsia="Calibri"/>
              </w:rPr>
            </w:pPr>
            <w:r w:rsidRPr="00083F82">
              <w:rPr>
                <w:rFonts w:eastAsia="Calibri"/>
              </w:rPr>
              <w:t>Prototypes are tested in a relevant environment. Represents a major step up in a technology's demonstrated readiness. Examples include testing a prototype in a simulated operational environment.</w:t>
            </w:r>
          </w:p>
        </w:tc>
      </w:tr>
      <w:tr w:rsidR="00123BA5" w:rsidRPr="00083F82" w14:paraId="0FD4600D" w14:textId="77777777" w:rsidTr="00BE6FC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6720497" w14:textId="77777777" w:rsidR="00123BA5" w:rsidRPr="00083F82" w:rsidRDefault="00123BA5" w:rsidP="00BE6FC7">
            <w:pPr>
              <w:rPr>
                <w:rFonts w:eastAsia="Calibri"/>
              </w:rPr>
            </w:pPr>
            <w:r w:rsidRPr="00083F82">
              <w:rPr>
                <w:rFonts w:eastAsia="Calibri"/>
              </w:rPr>
              <w:t>TRL 7—Product and/or process prototype demonstration in an operational environment</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F26D55D" w14:textId="77777777" w:rsidR="00123BA5" w:rsidRPr="00083F82" w:rsidRDefault="00123BA5" w:rsidP="00BE6FC7">
            <w:pPr>
              <w:rPr>
                <w:rFonts w:eastAsia="Calibri"/>
              </w:rPr>
            </w:pPr>
            <w:r w:rsidRPr="00083F82">
              <w:rPr>
                <w:rFonts w:eastAsia="Calibri"/>
              </w:rPr>
              <w:t>Prototype near or at planned operational system and requires demonstration of an actual prototype in an operational environment (e.g. in a vehicle).</w:t>
            </w:r>
          </w:p>
        </w:tc>
      </w:tr>
      <w:tr w:rsidR="00123BA5" w:rsidRPr="00083F82" w14:paraId="380A714C" w14:textId="77777777" w:rsidTr="00BE6FC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1759196" w14:textId="77777777" w:rsidR="00123BA5" w:rsidRPr="00083F82" w:rsidRDefault="00123BA5" w:rsidP="00BE6FC7">
            <w:pPr>
              <w:rPr>
                <w:rFonts w:eastAsia="Calibri"/>
              </w:rPr>
            </w:pPr>
            <w:r w:rsidRPr="00083F82">
              <w:rPr>
                <w:rFonts w:eastAsia="Calibri"/>
              </w:rPr>
              <w:t>TRL 8—Actual product and/or process completed and qualified through test and demonstration</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65F108A" w14:textId="77777777" w:rsidR="00123BA5" w:rsidRPr="00083F82" w:rsidRDefault="00123BA5" w:rsidP="00BE6FC7">
            <w:pPr>
              <w:rPr>
                <w:rFonts w:eastAsia="Calibri"/>
              </w:rPr>
            </w:pPr>
            <w:r w:rsidRPr="00083F82">
              <w:rPr>
                <w:rFonts w:eastAsia="Calibri"/>
              </w:rPr>
              <w:t>Innovation has been proven to work in its final form and under expected conditions. In almost all cases, this TRL represents the end of true system development.</w:t>
            </w:r>
          </w:p>
        </w:tc>
      </w:tr>
      <w:tr w:rsidR="00123BA5" w:rsidRPr="00083F82" w14:paraId="7A5EC9E3" w14:textId="77777777" w:rsidTr="00BE6FC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3A9517F" w14:textId="77777777" w:rsidR="00123BA5" w:rsidRPr="00083F82" w:rsidRDefault="00123BA5" w:rsidP="00BE6FC7">
            <w:pPr>
              <w:rPr>
                <w:rFonts w:eastAsia="Calibri"/>
              </w:rPr>
            </w:pPr>
            <w:r w:rsidRPr="00083F82">
              <w:rPr>
                <w:rFonts w:eastAsia="Calibri"/>
              </w:rPr>
              <w:t>TRL 9—Actual product and/or process proven successful</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1A8234C" w14:textId="77777777" w:rsidR="00123BA5" w:rsidRPr="00083F82" w:rsidRDefault="00123BA5" w:rsidP="00BE6FC7">
            <w:pPr>
              <w:rPr>
                <w:rFonts w:eastAsia="Calibri"/>
              </w:rPr>
            </w:pPr>
            <w:r w:rsidRPr="00083F82">
              <w:rPr>
                <w:rFonts w:eastAsia="Calibri"/>
              </w:rPr>
              <w:t>Actual application of the product and/or process innovation in its final form or function.</w:t>
            </w:r>
          </w:p>
        </w:tc>
      </w:tr>
    </w:tbl>
    <w:p w14:paraId="4FF887B8" w14:textId="0E84ED01" w:rsidR="0070155C" w:rsidRDefault="004A7A74" w:rsidP="0070155C">
      <w:pPr>
        <w:pStyle w:val="Heading1"/>
      </w:pPr>
      <w:bookmarkStart w:id="23" w:name="_Toc153363306"/>
      <w:r>
        <w:lastRenderedPageBreak/>
        <w:t xml:space="preserve">Appendix </w:t>
      </w:r>
      <w:r w:rsidR="00C50D98">
        <w:t>B</w:t>
      </w:r>
      <w:r>
        <w:t>: Project Cost Principles</w:t>
      </w:r>
      <w:bookmarkEnd w:id="23"/>
      <w:r>
        <w:t xml:space="preserve"> </w:t>
      </w:r>
      <w:r w:rsidR="0070155C">
        <w:t xml:space="preserve"> </w:t>
      </w:r>
    </w:p>
    <w:p w14:paraId="1343252F" w14:textId="6EA8F341" w:rsidR="004A7A74" w:rsidRPr="004A7A74" w:rsidRDefault="004A7A74" w:rsidP="006E59AE">
      <w:pPr>
        <w:pStyle w:val="Heading2"/>
        <w:numPr>
          <w:ilvl w:val="0"/>
          <w:numId w:val="26"/>
        </w:numPr>
      </w:pPr>
      <w:bookmarkStart w:id="24" w:name="_Toc153363307"/>
      <w:r w:rsidRPr="00F102AB">
        <w:t>Eligible Cost</w:t>
      </w:r>
      <w:r>
        <w:t>s</w:t>
      </w:r>
      <w:bookmarkEnd w:id="24"/>
    </w:p>
    <w:p w14:paraId="11F625E3" w14:textId="52E138A9" w:rsidR="004A7A74" w:rsidRDefault="004A7A74" w:rsidP="004A7A74">
      <w:r w:rsidRPr="00F47C14">
        <w:t xml:space="preserve">Eligible Costs incurred and paid by the Ultimate Recipient(s) are </w:t>
      </w:r>
      <w:r w:rsidR="007879B6" w:rsidRPr="00F47C14">
        <w:t>those which</w:t>
      </w:r>
      <w:r w:rsidRPr="00F47C14">
        <w:t xml:space="preserve"> are necessary to carry out the </w:t>
      </w:r>
      <w:r w:rsidR="004D019F">
        <w:t>project</w:t>
      </w:r>
      <w:r w:rsidRPr="00F47C14">
        <w:t xml:space="preserve"> </w:t>
      </w:r>
      <w:r w:rsidR="004D019F">
        <w:t>a</w:t>
      </w:r>
      <w:r w:rsidRPr="00F47C14">
        <w:t xml:space="preserve">ctivities. These costs are generally non-recurring and incremental to the ordinary business activities of the Ultimate Recipient(s). Eligible Costs shall be reasonable, such that the nature and the amounts do not exceed what an ordinary prudent person would conduct in a similar business context and can be directly attributable to the completion of the </w:t>
      </w:r>
      <w:r w:rsidR="004D019F">
        <w:t>project</w:t>
      </w:r>
      <w:r w:rsidRPr="00F47C14">
        <w:t xml:space="preserve"> </w:t>
      </w:r>
      <w:r w:rsidR="004D019F">
        <w:t>a</w:t>
      </w:r>
      <w:r w:rsidRPr="00F47C14">
        <w:t xml:space="preserve">ctivities included in the Statement of Work. These costs must be determined in accordance with the Ultimate Recipient(s)’s cost accounting practices as accepted by the Minister and applied consistently over time. The cost accounting system should clearly establish an audit trail that supports all costs claimed. </w:t>
      </w:r>
    </w:p>
    <w:p w14:paraId="2B183694" w14:textId="6EC0CC8F" w:rsidR="004A7A74" w:rsidRPr="004A7A74" w:rsidRDefault="004A7A74" w:rsidP="006E59AE">
      <w:pPr>
        <w:pStyle w:val="Heading2"/>
        <w:numPr>
          <w:ilvl w:val="0"/>
          <w:numId w:val="26"/>
        </w:numPr>
      </w:pPr>
      <w:bookmarkStart w:id="25" w:name="_Toc153363308"/>
      <w:r w:rsidRPr="004A7A74">
        <w:t>Affiliated Persons Clause</w:t>
      </w:r>
      <w:bookmarkEnd w:id="25"/>
      <w:r w:rsidRPr="004A7A74">
        <w:t xml:space="preserve"> </w:t>
      </w:r>
    </w:p>
    <w:p w14:paraId="5AF29FAF" w14:textId="77777777" w:rsidR="004A7A74" w:rsidRPr="00F47C14" w:rsidRDefault="004A7A74" w:rsidP="004A7A74">
      <w:pPr>
        <w:ind w:left="360"/>
      </w:pPr>
      <w:r w:rsidRPr="00F47C14">
        <w:t xml:space="preserve">Affiliated Persons are to be understood and treated as defined in the Income Tax Act, which includes but is not limited to; two or more entities that have similar ownership personnel; or entities that have a working business relationship. In the case of Eligible Costs for goods or services incurred and paid with an Affiliated Person, the amount of the costs incurred and paid must: </w:t>
      </w:r>
    </w:p>
    <w:p w14:paraId="28E4E733" w14:textId="77777777" w:rsidR="004A7A74" w:rsidRPr="00F47C14" w:rsidRDefault="004A7A74" w:rsidP="006E59AE">
      <w:pPr>
        <w:pStyle w:val="ListParagraph"/>
        <w:numPr>
          <w:ilvl w:val="0"/>
          <w:numId w:val="18"/>
        </w:numPr>
        <w:spacing w:after="200" w:line="276" w:lineRule="auto"/>
      </w:pPr>
      <w:r w:rsidRPr="00F47C14">
        <w:t xml:space="preserve">not exceed their Fair Market </w:t>
      </w:r>
      <w:proofErr w:type="gramStart"/>
      <w:r w:rsidRPr="00F47C14">
        <w:t>Value;</w:t>
      </w:r>
      <w:proofErr w:type="gramEnd"/>
      <w:r w:rsidRPr="00F47C14">
        <w:t xml:space="preserve"> </w:t>
      </w:r>
    </w:p>
    <w:p w14:paraId="70865535" w14:textId="77777777" w:rsidR="004A7A74" w:rsidRPr="00F47C14" w:rsidRDefault="004A7A74" w:rsidP="006E59AE">
      <w:pPr>
        <w:pStyle w:val="ListParagraph"/>
        <w:numPr>
          <w:ilvl w:val="0"/>
          <w:numId w:val="18"/>
        </w:numPr>
        <w:spacing w:after="200" w:line="276" w:lineRule="auto"/>
      </w:pPr>
      <w:r w:rsidRPr="00F47C14">
        <w:t xml:space="preserve">in the case of a good or service for which there is no Fair Market Value, the amount must not exceed the Fair Market Value of Similar Goods; or </w:t>
      </w:r>
    </w:p>
    <w:p w14:paraId="6C7FCF9B" w14:textId="77777777" w:rsidR="004A7A74" w:rsidRPr="00F47C14" w:rsidRDefault="004A7A74" w:rsidP="006E59AE">
      <w:pPr>
        <w:pStyle w:val="ListParagraph"/>
        <w:numPr>
          <w:ilvl w:val="0"/>
          <w:numId w:val="18"/>
        </w:numPr>
        <w:spacing w:after="200" w:line="276" w:lineRule="auto"/>
      </w:pPr>
      <w:r w:rsidRPr="00F47C14">
        <w:t xml:space="preserve">in the case of a good or service for which there is neither a Fair Market Value nor Similar Goods, the amount must not exceed the sum of the applicable Direct Costs with Indirect Costs (Overhead) at the rate stipulated by this Agreement, plus five percent (5%) profit. </w:t>
      </w:r>
    </w:p>
    <w:p w14:paraId="7E4C6929" w14:textId="2A0B9807" w:rsidR="004A7A74" w:rsidRDefault="004A7A74" w:rsidP="004A7A74">
      <w:pPr>
        <w:ind w:left="360"/>
      </w:pPr>
      <w:r w:rsidRPr="00F47C14">
        <w:t xml:space="preserve">*Note: It is important for Ultimate Recipient(s)’s, from the outset, to self-identify any related parties or Affiliated Persons who will be contracted to provide goods or perform services for completion of </w:t>
      </w:r>
      <w:r w:rsidR="004D019F">
        <w:t>project a</w:t>
      </w:r>
      <w:r w:rsidRPr="00F47C14">
        <w:t xml:space="preserve">ctivities. For wholly owned subsidiaries of the Ultimate Recipient’s completing </w:t>
      </w:r>
      <w:r w:rsidR="004D019F">
        <w:t>project a</w:t>
      </w:r>
      <w:r w:rsidRPr="00F47C14">
        <w:t xml:space="preserve">ctivities, its Eligible Costs incurred and paid will be claimed by the Ultimate Recipient on their behalf and costs are to be treated as if the wholly owned subsidiary is the Recipient. </w:t>
      </w:r>
    </w:p>
    <w:p w14:paraId="546B53D6" w14:textId="51163751" w:rsidR="004A7A74" w:rsidRPr="00A74169" w:rsidRDefault="004A7A74" w:rsidP="006E59AE">
      <w:pPr>
        <w:pStyle w:val="Heading2"/>
        <w:numPr>
          <w:ilvl w:val="0"/>
          <w:numId w:val="26"/>
        </w:numPr>
        <w:ind w:left="363" w:hanging="363"/>
      </w:pPr>
      <w:bookmarkStart w:id="26" w:name="_Toc153363309"/>
      <w:r w:rsidRPr="00A74169">
        <w:t>Reporting Responsibility</w:t>
      </w:r>
      <w:bookmarkEnd w:id="26"/>
      <w:r w:rsidRPr="00A74169">
        <w:t xml:space="preserve"> </w:t>
      </w:r>
    </w:p>
    <w:p w14:paraId="347C2204" w14:textId="77777777" w:rsidR="004A7A74" w:rsidRDefault="004A7A74" w:rsidP="004A7A74">
      <w:pPr>
        <w:ind w:left="426"/>
      </w:pPr>
      <w:r w:rsidRPr="00F47C14">
        <w:t>It is the Project Lead’s responsibility to provide financial records, costing methods, management estimates and legitimate business causes to support the claimed costs to the satisfaction of the CMIE.</w:t>
      </w:r>
    </w:p>
    <w:p w14:paraId="1931D52A" w14:textId="6783D813" w:rsidR="004A7A74" w:rsidRPr="00A74169" w:rsidRDefault="004A7A74" w:rsidP="006E59AE">
      <w:pPr>
        <w:pStyle w:val="Heading2"/>
        <w:numPr>
          <w:ilvl w:val="0"/>
          <w:numId w:val="26"/>
        </w:numPr>
        <w:ind w:left="363" w:hanging="363"/>
      </w:pPr>
      <w:bookmarkStart w:id="27" w:name="_Toc153363310"/>
      <w:r w:rsidRPr="00A74169">
        <w:t>Eligible Cost Activities</w:t>
      </w:r>
      <w:bookmarkEnd w:id="27"/>
      <w:r w:rsidRPr="00A74169">
        <w:t xml:space="preserve"> </w:t>
      </w:r>
    </w:p>
    <w:p w14:paraId="27CB5A57" w14:textId="77777777" w:rsidR="004A7A74" w:rsidRPr="00F47C14" w:rsidRDefault="004A7A74" w:rsidP="004A7A74">
      <w:pPr>
        <w:ind w:left="360"/>
      </w:pPr>
      <w:r w:rsidRPr="00F47C14">
        <w:t xml:space="preserve">Eligible Costs will generally include </w:t>
      </w:r>
      <w:proofErr w:type="gramStart"/>
      <w:r w:rsidRPr="00F47C14">
        <w:t>expenditures</w:t>
      </w:r>
      <w:proofErr w:type="gramEnd"/>
      <w:r w:rsidRPr="00F47C14">
        <w:t xml:space="preserve"> related to the following activities: </w:t>
      </w:r>
    </w:p>
    <w:p w14:paraId="3F558A48" w14:textId="73F7D7EF" w:rsidR="004A7A74" w:rsidRPr="00F47C14" w:rsidRDefault="004A7A74" w:rsidP="006E59AE">
      <w:pPr>
        <w:pStyle w:val="ListParagraph"/>
        <w:numPr>
          <w:ilvl w:val="0"/>
          <w:numId w:val="19"/>
        </w:numPr>
        <w:spacing w:after="200" w:line="276" w:lineRule="auto"/>
      </w:pPr>
      <w:r w:rsidRPr="00F47C14">
        <w:lastRenderedPageBreak/>
        <w:t xml:space="preserve">Industrial research, including activities related to the discovery of new knowledge that aim to support the development of new technology-driven products, </w:t>
      </w:r>
      <w:r w:rsidR="009116E2" w:rsidRPr="00F47C14">
        <w:t>processes,</w:t>
      </w:r>
      <w:r w:rsidRPr="00F47C14">
        <w:t xml:space="preserve"> or services at early-stage technology readiness levels; and </w:t>
      </w:r>
    </w:p>
    <w:p w14:paraId="4FA6BB5B" w14:textId="19B981B9" w:rsidR="004A7A74" w:rsidRDefault="004A7A74" w:rsidP="006E59AE">
      <w:pPr>
        <w:pStyle w:val="ListParagraph"/>
        <w:numPr>
          <w:ilvl w:val="0"/>
          <w:numId w:val="19"/>
        </w:numPr>
        <w:spacing w:after="200" w:line="276" w:lineRule="auto"/>
      </w:pPr>
      <w:r w:rsidRPr="00F47C14">
        <w:t>Large-scale technology demonstration, including the advancement and development of new technologies into product-specific applications at mid-to-</w:t>
      </w:r>
      <w:r w:rsidR="007879B6" w:rsidRPr="00F47C14">
        <w:t>late-stage</w:t>
      </w:r>
      <w:r w:rsidRPr="00F47C14">
        <w:t xml:space="preserve"> technology readiness levels. </w:t>
      </w:r>
    </w:p>
    <w:p w14:paraId="0925889E" w14:textId="1C90CFE7" w:rsidR="004A7A74" w:rsidRPr="00B77055" w:rsidRDefault="004A7A74" w:rsidP="006E59AE">
      <w:pPr>
        <w:pStyle w:val="Heading2"/>
        <w:numPr>
          <w:ilvl w:val="0"/>
          <w:numId w:val="26"/>
        </w:numPr>
        <w:ind w:left="363" w:hanging="363"/>
      </w:pPr>
      <w:bookmarkStart w:id="28" w:name="_Toc153363311"/>
      <w:r w:rsidRPr="00B77055">
        <w:t>Eligible Cost Categories</w:t>
      </w:r>
      <w:bookmarkEnd w:id="28"/>
      <w:r w:rsidRPr="00B77055">
        <w:t xml:space="preserve"> </w:t>
      </w:r>
    </w:p>
    <w:p w14:paraId="7FF6D4C9" w14:textId="37368687" w:rsidR="004A7A74" w:rsidRDefault="004A7A74" w:rsidP="004A7A74">
      <w:pPr>
        <w:ind w:left="360"/>
      </w:pPr>
      <w:r w:rsidRPr="00F47C14">
        <w:t xml:space="preserve">In performing the </w:t>
      </w:r>
      <w:r w:rsidR="004D019F">
        <w:t>project a</w:t>
      </w:r>
      <w:r w:rsidRPr="00F47C14">
        <w:t xml:space="preserve">ctivities included in the Statement of Work, Eligible Cost categories may include the following: </w:t>
      </w:r>
    </w:p>
    <w:p w14:paraId="523E60F9" w14:textId="77777777" w:rsidR="002D7658" w:rsidRPr="00045070" w:rsidRDefault="002D7658" w:rsidP="0071486E">
      <w:pPr>
        <w:pStyle w:val="Heading4"/>
        <w:numPr>
          <w:ilvl w:val="0"/>
          <w:numId w:val="28"/>
        </w:numPr>
        <w:rPr>
          <w:rStyle w:val="normaltextrun"/>
        </w:rPr>
      </w:pPr>
      <w:r>
        <w:t xml:space="preserve">Direct </w:t>
      </w:r>
      <w:r w:rsidRPr="0006733E">
        <w:t>Labour</w:t>
      </w:r>
    </w:p>
    <w:p w14:paraId="3B4E167C" w14:textId="66E88C33" w:rsidR="004A7A74" w:rsidRDefault="002D7658" w:rsidP="002D7658">
      <w:pPr>
        <w:spacing w:after="200" w:line="276" w:lineRule="auto"/>
        <w:ind w:left="360"/>
      </w:pPr>
      <w:r>
        <w:t>M</w:t>
      </w:r>
      <w:r w:rsidR="004A7A74" w:rsidRPr="00BF6EF4">
        <w:t>eaning the portion of gross wages or salaries incurred and paid by the Ultimate Recipient(s</w:t>
      </w:r>
      <w:proofErr w:type="gramStart"/>
      <w:r w:rsidR="004A7A74" w:rsidRPr="00BF6EF4">
        <w:t>)’s</w:t>
      </w:r>
      <w:proofErr w:type="gramEnd"/>
      <w:r w:rsidR="004A7A74" w:rsidRPr="00BF6EF4">
        <w:t xml:space="preserve"> for eligible activities which can be specifically identified and measured as having been performed for the </w:t>
      </w:r>
      <w:r w:rsidR="004D019F">
        <w:t>project a</w:t>
      </w:r>
      <w:r w:rsidR="004A7A74" w:rsidRPr="00BF6EF4">
        <w:t xml:space="preserve">ctivities and which is so identified and measured consistently by the Ultimate Recipient(s)’ cost accounting system. The cost accounting system should sufficiently prove the hours worked by employees are directly related to the </w:t>
      </w:r>
      <w:r w:rsidR="004D019F">
        <w:t>project a</w:t>
      </w:r>
      <w:r w:rsidR="004A7A74" w:rsidRPr="00BF6EF4">
        <w:t xml:space="preserve">ctivities. </w:t>
      </w:r>
    </w:p>
    <w:p w14:paraId="42BB6693" w14:textId="78E4C9B1" w:rsidR="002D7658" w:rsidRDefault="002D7658" w:rsidP="00CF379D">
      <w:pPr>
        <w:pStyle w:val="Heading4"/>
        <w:numPr>
          <w:ilvl w:val="0"/>
          <w:numId w:val="28"/>
        </w:numPr>
      </w:pPr>
      <w:r>
        <w:t xml:space="preserve">Subcontractors and Consultants </w:t>
      </w:r>
    </w:p>
    <w:p w14:paraId="0C264A91" w14:textId="11C10E5D" w:rsidR="002D7658" w:rsidRDefault="002D7658" w:rsidP="002D7658">
      <w:pPr>
        <w:spacing w:after="200" w:line="276" w:lineRule="auto"/>
        <w:ind w:left="529"/>
      </w:pPr>
      <w:r>
        <w:t>M</w:t>
      </w:r>
      <w:r w:rsidR="004A7A74" w:rsidRPr="00BF6EF4">
        <w:t xml:space="preserve">eaning the costs of subcontracts or consultants incurred and paid for </w:t>
      </w:r>
      <w:r w:rsidR="004D019F">
        <w:t>project a</w:t>
      </w:r>
      <w:r w:rsidR="004A7A74" w:rsidRPr="00BF6EF4">
        <w:t xml:space="preserve">ctivities are the costs for work or services performed by an external third party, which can be specifically identified and measured as having been incurred and paid for the </w:t>
      </w:r>
      <w:r w:rsidR="004D019F">
        <w:t>project a</w:t>
      </w:r>
      <w:r w:rsidR="004A7A74" w:rsidRPr="00BF6EF4">
        <w:t xml:space="preserve">ctivities. The Ultimate Recipient(s) can be a Recipient and a Subcontractor in the same Network but not on the same Eligible Project. </w:t>
      </w:r>
    </w:p>
    <w:p w14:paraId="30258B67" w14:textId="4DEE67D4" w:rsidR="002D7658" w:rsidRDefault="004A7A74" w:rsidP="002D7658">
      <w:pPr>
        <w:spacing w:after="200" w:line="276" w:lineRule="auto"/>
        <w:ind w:left="529"/>
      </w:pPr>
      <w:r w:rsidRPr="0043234F">
        <w:t xml:space="preserve">The Indirect Cost (Overhead) rate calculation for the Ultimate Recipient(s) does not apply to bona fide Subcontractors and Consultants. </w:t>
      </w:r>
    </w:p>
    <w:p w14:paraId="38543147" w14:textId="41C14FF7" w:rsidR="004A7A74" w:rsidRDefault="004A7A74" w:rsidP="002D7658">
      <w:pPr>
        <w:spacing w:after="200" w:line="276" w:lineRule="auto"/>
        <w:ind w:left="529"/>
      </w:pPr>
      <w:r w:rsidRPr="00F47C14">
        <w:t>* Option: In the case of Recipients with high Subcontractors and Consultants costs or low Direct Labour costs, Indirect Costs (Overhead) thresholds calculated to a maximum of five percent (5%) on eligible Subcontractors and Consultants costs, but no more than fifteen percent (15%) of total Eligible Supported Costs may apply. Such thresholds would be calculated for each Recipient and each individual Eligible Project if more than one Eligible Project is selected for an Ultimate Recipient.</w:t>
      </w:r>
    </w:p>
    <w:p w14:paraId="55073E45" w14:textId="23D76635" w:rsidR="00D95905" w:rsidRPr="00045070" w:rsidRDefault="00D95905" w:rsidP="0071486E">
      <w:pPr>
        <w:pStyle w:val="Heading4"/>
        <w:numPr>
          <w:ilvl w:val="0"/>
          <w:numId w:val="28"/>
        </w:numPr>
        <w:rPr>
          <w:rStyle w:val="normaltextrun"/>
        </w:rPr>
      </w:pPr>
      <w:r>
        <w:t>Direct Materials</w:t>
      </w:r>
    </w:p>
    <w:p w14:paraId="03C9F3BA" w14:textId="354D7F85" w:rsidR="004A7A74" w:rsidRPr="0043234F" w:rsidRDefault="00D95905" w:rsidP="00D95905">
      <w:pPr>
        <w:spacing w:after="200" w:line="276" w:lineRule="auto"/>
        <w:ind w:left="567"/>
      </w:pPr>
      <w:r>
        <w:t>M</w:t>
      </w:r>
      <w:r w:rsidR="004A7A74" w:rsidRPr="0043234F">
        <w:t xml:space="preserve">eaning the cost of materials which are incurred and paid and can be specifically identified and measured as having been processed, </w:t>
      </w:r>
      <w:r w:rsidR="009116E2" w:rsidRPr="0043234F">
        <w:t>manufactured,</w:t>
      </w:r>
      <w:r w:rsidR="004A7A74" w:rsidRPr="0043234F">
        <w:t xml:space="preserve"> and used in the performance of the </w:t>
      </w:r>
      <w:r w:rsidR="004D019F">
        <w:t>project a</w:t>
      </w:r>
      <w:r w:rsidR="004A7A74" w:rsidRPr="0043234F">
        <w:t xml:space="preserve">ctivities, which are measured consistently by the Ultimate Recipient(s)’ cost accounting system. </w:t>
      </w:r>
    </w:p>
    <w:p w14:paraId="7597E342" w14:textId="65CFBF7A" w:rsidR="004A7A74" w:rsidRPr="0043234F" w:rsidRDefault="004A7A74" w:rsidP="006E59AE">
      <w:pPr>
        <w:pStyle w:val="ListParagraph"/>
        <w:numPr>
          <w:ilvl w:val="2"/>
          <w:numId w:val="21"/>
        </w:numPr>
        <w:spacing w:after="200" w:line="276" w:lineRule="auto"/>
        <w:ind w:left="1418"/>
      </w:pPr>
      <w:r w:rsidRPr="0043234F">
        <w:lastRenderedPageBreak/>
        <w:t xml:space="preserve">Materials purchased solely for the activities of the Network shall be at </w:t>
      </w:r>
      <w:proofErr w:type="gramStart"/>
      <w:r w:rsidRPr="0043234F">
        <w:t>the net</w:t>
      </w:r>
      <w:proofErr w:type="gramEnd"/>
      <w:r w:rsidRPr="0043234F">
        <w:t xml:space="preserve"> laid down cost to the Ultimate Recipient(s), net of any sale taxes and after any discounts offered by the suppliers. </w:t>
      </w:r>
    </w:p>
    <w:p w14:paraId="5EF6601F" w14:textId="0E21597C" w:rsidR="004A7A74" w:rsidRPr="0043234F" w:rsidRDefault="004A7A74" w:rsidP="006E59AE">
      <w:pPr>
        <w:pStyle w:val="ListParagraph"/>
        <w:numPr>
          <w:ilvl w:val="2"/>
          <w:numId w:val="21"/>
        </w:numPr>
        <w:spacing w:after="200" w:line="276" w:lineRule="auto"/>
        <w:ind w:left="1418"/>
      </w:pPr>
      <w:r w:rsidRPr="0043234F">
        <w:t xml:space="preserve">Materials issued from the Ultimate Recipient(s)’s general stocks shall be measured in accordance with the material pricing method consistently used by the Ultimate Recipient(s). </w:t>
      </w:r>
    </w:p>
    <w:p w14:paraId="2CD27CEC" w14:textId="754BDF99" w:rsidR="004A7A74" w:rsidRDefault="004A7A74" w:rsidP="004A7A74">
      <w:pPr>
        <w:ind w:left="720"/>
      </w:pPr>
      <w:r w:rsidRPr="00F47C14">
        <w:t xml:space="preserve">Direct Materials include, but are not limited to, items such as circuit boards, </w:t>
      </w:r>
      <w:r w:rsidR="009116E2" w:rsidRPr="00F47C14">
        <w:t>cables,</w:t>
      </w:r>
      <w:r w:rsidRPr="00F47C14">
        <w:t xml:space="preserve"> and metals, essentially any raw material that is “used up” by completing </w:t>
      </w:r>
      <w:r w:rsidR="004D019F">
        <w:t>project a</w:t>
      </w:r>
      <w:r w:rsidRPr="00F47C14">
        <w:t>ctivities</w:t>
      </w:r>
    </w:p>
    <w:p w14:paraId="20BBC809" w14:textId="49959430" w:rsidR="00D95905" w:rsidRPr="00045070" w:rsidRDefault="00D95905" w:rsidP="0071486E">
      <w:pPr>
        <w:pStyle w:val="Heading4"/>
        <w:numPr>
          <w:ilvl w:val="0"/>
          <w:numId w:val="28"/>
        </w:numPr>
        <w:rPr>
          <w:rStyle w:val="normaltextrun"/>
        </w:rPr>
      </w:pPr>
      <w:r>
        <w:t>Equipment</w:t>
      </w:r>
    </w:p>
    <w:p w14:paraId="220F46A6" w14:textId="7AB1D842" w:rsidR="004A7A74" w:rsidRDefault="00D95905" w:rsidP="00D95905">
      <w:pPr>
        <w:spacing w:after="200" w:line="276" w:lineRule="auto"/>
        <w:ind w:left="567"/>
      </w:pPr>
      <w:r>
        <w:t>M</w:t>
      </w:r>
      <w:r w:rsidR="004A7A74" w:rsidRPr="0043234F">
        <w:t xml:space="preserve">eaning the capital cost of Equipment, which are incurred and paid and can be specifically identified as having been purchased for </w:t>
      </w:r>
      <w:r w:rsidR="004D019F">
        <w:t>project a</w:t>
      </w:r>
      <w:r w:rsidR="004A7A74" w:rsidRPr="0043234F">
        <w:t xml:space="preserve">ctivities and measured consistently by the Ultimate Recipients’ costing system. Significant Equipment required to complete the </w:t>
      </w:r>
      <w:r w:rsidR="004D019F">
        <w:t>project a</w:t>
      </w:r>
      <w:r w:rsidR="004A7A74" w:rsidRPr="0043234F">
        <w:t>ctivities should be detailed in the Statement of Work. See below scenarios for clarification of costs related to equipment:</w:t>
      </w:r>
    </w:p>
    <w:p w14:paraId="3F160AC6" w14:textId="77777777" w:rsidR="004A7A74" w:rsidRPr="0043234F" w:rsidRDefault="004A7A74" w:rsidP="004A7A74">
      <w:pPr>
        <w:pStyle w:val="ListParagraph"/>
      </w:pPr>
    </w:p>
    <w:p w14:paraId="4BA817CF" w14:textId="5EB52182" w:rsidR="004A7A74" w:rsidRPr="001E6346" w:rsidRDefault="004A7A74" w:rsidP="006E59AE">
      <w:pPr>
        <w:pStyle w:val="ListParagraph"/>
        <w:numPr>
          <w:ilvl w:val="0"/>
          <w:numId w:val="22"/>
        </w:numPr>
        <w:spacing w:after="200" w:line="276" w:lineRule="auto"/>
      </w:pPr>
      <w:r w:rsidRPr="001E6346">
        <w:t xml:space="preserve">If </w:t>
      </w:r>
      <w:r w:rsidR="00CB042E" w:rsidRPr="001E6346">
        <w:t>an</w:t>
      </w:r>
      <w:r w:rsidRPr="001E6346">
        <w:t xml:space="preserve"> Ultimate Recipient has built the equipment themselves, the costs would be allocated to the appropriate cost categories (Direct Material, Direct Labour, etc.</w:t>
      </w:r>
      <w:proofErr w:type="gramStart"/>
      <w:r w:rsidRPr="001E6346">
        <w:t>);</w:t>
      </w:r>
      <w:proofErr w:type="gramEnd"/>
      <w:r w:rsidRPr="001E6346">
        <w:t xml:space="preserve"> </w:t>
      </w:r>
    </w:p>
    <w:p w14:paraId="0AA63DCA" w14:textId="29C9F1B0" w:rsidR="004A7A74" w:rsidRDefault="004A7A74" w:rsidP="006E59AE">
      <w:pPr>
        <w:pStyle w:val="ListParagraph"/>
        <w:numPr>
          <w:ilvl w:val="0"/>
          <w:numId w:val="22"/>
        </w:numPr>
        <w:spacing w:after="200" w:line="276" w:lineRule="auto"/>
      </w:pPr>
      <w:r w:rsidRPr="001E6346">
        <w:t>If a</w:t>
      </w:r>
      <w:r w:rsidR="00CB042E">
        <w:t xml:space="preserve">n </w:t>
      </w:r>
      <w:r w:rsidRPr="001E6346">
        <w:t xml:space="preserve">Ultimate Recipient has equipment built by a third party, the costs would be allocated to the Equipment category if readily identifiable, otherwise the equipment could be reported in Subcontractors category and consultants; and </w:t>
      </w:r>
    </w:p>
    <w:p w14:paraId="269D1CD7" w14:textId="21742311" w:rsidR="004A7A74" w:rsidRPr="001E6346" w:rsidRDefault="004A7A74" w:rsidP="006E59AE">
      <w:pPr>
        <w:pStyle w:val="ListParagraph"/>
        <w:numPr>
          <w:ilvl w:val="0"/>
          <w:numId w:val="22"/>
        </w:numPr>
        <w:spacing w:after="200" w:line="276" w:lineRule="auto"/>
      </w:pPr>
      <w:r w:rsidRPr="001E6346">
        <w:t>If a</w:t>
      </w:r>
      <w:r w:rsidR="00CB042E">
        <w:t xml:space="preserve">n </w:t>
      </w:r>
      <w:r w:rsidRPr="001E6346">
        <w:t xml:space="preserve">Ultimate Recipient outright purchases a piece of equipment, the costs would be allocated to the Equipment category. </w:t>
      </w:r>
    </w:p>
    <w:p w14:paraId="74682F41" w14:textId="77777777" w:rsidR="004A7A74" w:rsidRPr="00F47C14" w:rsidRDefault="004A7A74" w:rsidP="004A7A74">
      <w:pPr>
        <w:ind w:left="720"/>
      </w:pPr>
      <w:r w:rsidRPr="00F47C14">
        <w:t xml:space="preserve">Capital equipment acquired under the Agreement may be subject to the Minister’s approval for disposal in accordance with the Covenants Article in the Agreement. </w:t>
      </w:r>
    </w:p>
    <w:p w14:paraId="5BE9D7EF" w14:textId="53046C3E" w:rsidR="004A7A74" w:rsidRPr="00F47C14" w:rsidRDefault="004A7A74" w:rsidP="004A7A74">
      <w:pPr>
        <w:ind w:left="720"/>
      </w:pPr>
      <w:r w:rsidRPr="00F47C14">
        <w:t xml:space="preserve">Equipment costs include but are not limited to, the purchase of equipment necessary for the </w:t>
      </w:r>
      <w:r w:rsidR="004D019F">
        <w:t>project</w:t>
      </w:r>
      <w:r w:rsidRPr="00F47C14">
        <w:t xml:space="preserve"> activities, costs to alter or modernize the equipment, costs to get the equipment into working order, and shipping costs. </w:t>
      </w:r>
    </w:p>
    <w:p w14:paraId="443D6C83" w14:textId="539C55AC" w:rsidR="00D95905" w:rsidRPr="00045070" w:rsidRDefault="00D95905" w:rsidP="0071486E">
      <w:pPr>
        <w:pStyle w:val="Heading4"/>
        <w:numPr>
          <w:ilvl w:val="0"/>
          <w:numId w:val="28"/>
        </w:numPr>
        <w:rPr>
          <w:rStyle w:val="normaltextrun"/>
        </w:rPr>
      </w:pPr>
      <w:r>
        <w:t>Land, Building and Building Improvement</w:t>
      </w:r>
    </w:p>
    <w:p w14:paraId="6CA9D953" w14:textId="7C3C59DC" w:rsidR="004A7A74" w:rsidRPr="0043234F" w:rsidRDefault="00D95905" w:rsidP="00D95905">
      <w:pPr>
        <w:spacing w:after="200" w:line="276" w:lineRule="auto"/>
        <w:ind w:left="567"/>
      </w:pPr>
      <w:r>
        <w:t>M</w:t>
      </w:r>
      <w:r w:rsidR="004A7A74" w:rsidRPr="0043234F">
        <w:t xml:space="preserve">eaning the capital cost of land, buildings or building improvement that are incurred and paid, and are necessary to carry out </w:t>
      </w:r>
      <w:r w:rsidR="004D019F">
        <w:t>project a</w:t>
      </w:r>
      <w:r w:rsidR="004A7A74" w:rsidRPr="0043234F">
        <w:t xml:space="preserve">ctivities and have been approved by the Minister. Eligible building costs may include the acquisition costs, construction of new or the expansion of existing facilities, the development of testing facilities, investments in modern buildings, building and land leases (the incremental cost of leasing land during the work phase of the </w:t>
      </w:r>
      <w:r w:rsidR="004D019F">
        <w:t>project a</w:t>
      </w:r>
      <w:r w:rsidR="004A7A74" w:rsidRPr="0043234F">
        <w:t xml:space="preserve">ctivities), and permanent building improvement. See below scenarios for clarification of costs related to buildings: </w:t>
      </w:r>
    </w:p>
    <w:p w14:paraId="4B032EBA" w14:textId="042FEDED" w:rsidR="004A7A74" w:rsidRDefault="004A7A74" w:rsidP="006E59AE">
      <w:pPr>
        <w:pStyle w:val="ListParagraph"/>
        <w:numPr>
          <w:ilvl w:val="0"/>
          <w:numId w:val="23"/>
        </w:numPr>
        <w:spacing w:after="200" w:line="276" w:lineRule="auto"/>
      </w:pPr>
      <w:r w:rsidRPr="00AF74F8">
        <w:t>If a</w:t>
      </w:r>
      <w:r w:rsidR="00711251">
        <w:t xml:space="preserve">n </w:t>
      </w:r>
      <w:r w:rsidRPr="00AF74F8">
        <w:t>Ultimate Recipient has built the facility themselves, the costs would be allocated to the appropriate cost categories (Direct Material, Direct Labour, etc.</w:t>
      </w:r>
      <w:proofErr w:type="gramStart"/>
      <w:r w:rsidRPr="00AF74F8">
        <w:t>);</w:t>
      </w:r>
      <w:proofErr w:type="gramEnd"/>
      <w:r w:rsidRPr="00AF74F8">
        <w:t xml:space="preserve"> </w:t>
      </w:r>
    </w:p>
    <w:p w14:paraId="54246CDC" w14:textId="2BCA6730" w:rsidR="004A7A74" w:rsidRDefault="004A7A74" w:rsidP="006E59AE">
      <w:pPr>
        <w:pStyle w:val="ListParagraph"/>
        <w:numPr>
          <w:ilvl w:val="0"/>
          <w:numId w:val="23"/>
        </w:numPr>
        <w:spacing w:after="200" w:line="276" w:lineRule="auto"/>
      </w:pPr>
      <w:r w:rsidRPr="00AF74F8">
        <w:lastRenderedPageBreak/>
        <w:t>If a</w:t>
      </w:r>
      <w:r w:rsidR="00711251">
        <w:t xml:space="preserve">n </w:t>
      </w:r>
      <w:r w:rsidRPr="00AF74F8">
        <w:t xml:space="preserve">Ultimate Recipient has a facility built by a third party, the costs would be allocated to the Subcontractors category; and </w:t>
      </w:r>
    </w:p>
    <w:p w14:paraId="14712537" w14:textId="44EEB5F3" w:rsidR="004A7A74" w:rsidRPr="00AF74F8" w:rsidRDefault="004A7A74" w:rsidP="006E59AE">
      <w:pPr>
        <w:pStyle w:val="ListParagraph"/>
        <w:numPr>
          <w:ilvl w:val="0"/>
          <w:numId w:val="23"/>
        </w:numPr>
        <w:spacing w:after="200" w:line="276" w:lineRule="auto"/>
      </w:pPr>
      <w:r w:rsidRPr="00AF74F8">
        <w:t>If a</w:t>
      </w:r>
      <w:r w:rsidR="00711251">
        <w:t xml:space="preserve">n </w:t>
      </w:r>
      <w:r w:rsidRPr="00AF74F8">
        <w:t xml:space="preserve">Ultimate Recipient outright purchases an already existing building, the costs would be allocated to the building category. </w:t>
      </w:r>
    </w:p>
    <w:p w14:paraId="340DE612" w14:textId="102998A1" w:rsidR="00D95905" w:rsidRPr="00F47C14" w:rsidRDefault="00D95905" w:rsidP="0071486E">
      <w:pPr>
        <w:pStyle w:val="Heading4"/>
        <w:numPr>
          <w:ilvl w:val="0"/>
          <w:numId w:val="28"/>
        </w:numPr>
      </w:pPr>
      <w:r>
        <w:t>Other Direct Costs</w:t>
      </w:r>
    </w:p>
    <w:p w14:paraId="4155C9C2" w14:textId="1A59E2D2" w:rsidR="004A7A74" w:rsidRPr="0043234F" w:rsidRDefault="00D95905" w:rsidP="00D95905">
      <w:pPr>
        <w:spacing w:after="200" w:line="276" w:lineRule="auto"/>
        <w:ind w:left="567"/>
      </w:pPr>
      <w:r>
        <w:t>M</w:t>
      </w:r>
      <w:r w:rsidR="004A7A74" w:rsidRPr="0043234F">
        <w:t xml:space="preserve">eaning those eligible direct costs, not falling within the categories of direct cost mentioned above, but which are incurred and paid, and can be specifically identified and measured as having been incurred and paid by the Ultimate Recipient(s) for the activities of the Network and which are so identified and measured consistently by the Ultimate Recipient(s)’s costing system. </w:t>
      </w:r>
    </w:p>
    <w:p w14:paraId="67FC30DF" w14:textId="46034344" w:rsidR="00D95905" w:rsidRPr="00045070" w:rsidRDefault="00D95905" w:rsidP="0071486E">
      <w:pPr>
        <w:pStyle w:val="Heading4"/>
        <w:numPr>
          <w:ilvl w:val="0"/>
          <w:numId w:val="28"/>
        </w:numPr>
        <w:rPr>
          <w:rStyle w:val="normaltextrun"/>
        </w:rPr>
      </w:pPr>
      <w:r>
        <w:t>Travel and Outreach Costs</w:t>
      </w:r>
    </w:p>
    <w:p w14:paraId="49B15264" w14:textId="676D41F3" w:rsidR="004A7A74" w:rsidRPr="00896455" w:rsidRDefault="00D95905" w:rsidP="00D95905">
      <w:pPr>
        <w:spacing w:after="200" w:line="276" w:lineRule="auto"/>
        <w:ind w:left="567"/>
      </w:pPr>
      <w:r>
        <w:t>M</w:t>
      </w:r>
      <w:r w:rsidR="004A7A74" w:rsidRPr="00896455">
        <w:t xml:space="preserve">eaning those eligible direct costs incurred and paid by the Recipient that are directly related to </w:t>
      </w:r>
      <w:r w:rsidR="004D019F">
        <w:t>project a</w:t>
      </w:r>
      <w:r w:rsidR="004A7A74" w:rsidRPr="00896455">
        <w:t xml:space="preserve">ctivities. Travel costs shall include expenses for Network Executive Committee meetings. Travel expenses shall be appropriate, economical, </w:t>
      </w:r>
      <w:r w:rsidR="009116E2" w:rsidRPr="00896455">
        <w:t>reasonable,</w:t>
      </w:r>
      <w:r w:rsidR="004A7A74" w:rsidRPr="00896455">
        <w:t xml:space="preserve"> and available to most of the employees of the Ultimate Recipient. Travel costs can be claimed, to the maximum allowance, as per the conditions in the national joint council directive or treasury board policies. </w:t>
      </w:r>
    </w:p>
    <w:p w14:paraId="32B2B440" w14:textId="493023C9" w:rsidR="004A7A74" w:rsidRPr="00F47C14" w:rsidRDefault="004A7A74" w:rsidP="004A7A74">
      <w:pPr>
        <w:ind w:left="720"/>
      </w:pPr>
      <w:r w:rsidRPr="00F47C14">
        <w:t>A copy of the Ultimate Recipient’s travel policy may be required for review by the SIF program during the claim process.</w:t>
      </w:r>
    </w:p>
    <w:p w14:paraId="0CB9C0A3" w14:textId="4A7F6313" w:rsidR="004A7A74" w:rsidRPr="00F25EB2" w:rsidRDefault="004A7A74" w:rsidP="006E59AE">
      <w:pPr>
        <w:pStyle w:val="Heading2"/>
        <w:numPr>
          <w:ilvl w:val="0"/>
          <w:numId w:val="26"/>
        </w:numPr>
        <w:ind w:left="363" w:hanging="363"/>
      </w:pPr>
      <w:bookmarkStart w:id="29" w:name="_Toc153363312"/>
      <w:r w:rsidRPr="00F25EB2">
        <w:t>Indirect Costs (Overhead)</w:t>
      </w:r>
      <w:bookmarkEnd w:id="29"/>
      <w:r w:rsidRPr="00F25EB2">
        <w:t xml:space="preserve"> </w:t>
      </w:r>
    </w:p>
    <w:p w14:paraId="4D1FE855" w14:textId="498B139F" w:rsidR="004A7A74" w:rsidRPr="00F47C14" w:rsidRDefault="004A7A74" w:rsidP="004A7A74">
      <w:pPr>
        <w:ind w:left="360"/>
      </w:pPr>
      <w:r w:rsidRPr="00F47C14">
        <w:t xml:space="preserve">Indirect Costs (Overhead) are those costs which, though necessarily having been incurred and paid by the Ultimate Recipient(s) for the conduct of the business in general, cannot be identified and measured as directly applicable to the carrying out of the </w:t>
      </w:r>
      <w:r w:rsidR="004D019F">
        <w:t>project a</w:t>
      </w:r>
      <w:r w:rsidRPr="00F47C14">
        <w:t xml:space="preserve">ctivities included in the Statement of Work. </w:t>
      </w:r>
    </w:p>
    <w:p w14:paraId="5C20EAC8" w14:textId="77777777" w:rsidR="004A7A74" w:rsidRPr="00F47C14" w:rsidRDefault="004A7A74" w:rsidP="004A7A74">
      <w:pPr>
        <w:ind w:firstLine="360"/>
      </w:pPr>
      <w:r w:rsidRPr="00F47C14">
        <w:t xml:space="preserve">Indirect Costs (Overhead) include, but are not limited to: </w:t>
      </w:r>
    </w:p>
    <w:p w14:paraId="75DBD5B1" w14:textId="77344067" w:rsidR="004A7A74" w:rsidRDefault="004A7A74" w:rsidP="006E59AE">
      <w:pPr>
        <w:pStyle w:val="ListParagraph"/>
        <w:numPr>
          <w:ilvl w:val="0"/>
          <w:numId w:val="24"/>
        </w:numPr>
        <w:spacing w:after="200" w:line="276" w:lineRule="auto"/>
      </w:pPr>
      <w:r w:rsidRPr="009C77AB">
        <w:t>Indirect materials and supplies including but not limited to, supplies of low-value, high-</w:t>
      </w:r>
      <w:r w:rsidR="009116E2" w:rsidRPr="009C77AB">
        <w:t>usage,</w:t>
      </w:r>
      <w:r w:rsidRPr="009C77AB">
        <w:t xml:space="preserve"> and consumable items, such as paintbrushes and safety supplies, which meet the definition of Direct Material costs but for which it is commercially unreasonable, in the context of the activities of the Network, to account for their costs in the manner prescribed for Direct Costs. Costs such as stationery, office supplies, postage and other necessary administration and management expenses, small tools, such as ladders, drills, paint sprayer, and general inventory </w:t>
      </w:r>
      <w:r w:rsidR="000E4A0D" w:rsidRPr="009C77AB">
        <w:t>build-up.</w:t>
      </w:r>
      <w:r w:rsidRPr="009C77AB">
        <w:t xml:space="preserve"> </w:t>
      </w:r>
    </w:p>
    <w:p w14:paraId="0DA1DBBE" w14:textId="77777777" w:rsidR="004A7A74" w:rsidRDefault="004A7A74" w:rsidP="004A7A74">
      <w:pPr>
        <w:pStyle w:val="ListParagraph"/>
      </w:pPr>
    </w:p>
    <w:p w14:paraId="1577C5FE" w14:textId="77777777" w:rsidR="004A7A74" w:rsidRPr="009C77AB" w:rsidRDefault="004A7A74" w:rsidP="006E59AE">
      <w:pPr>
        <w:pStyle w:val="ListParagraph"/>
        <w:numPr>
          <w:ilvl w:val="0"/>
          <w:numId w:val="24"/>
        </w:numPr>
        <w:spacing w:after="200" w:line="276" w:lineRule="auto"/>
      </w:pPr>
      <w:r w:rsidRPr="009C77AB">
        <w:t xml:space="preserve">Indirect labour, Network management, and administrative support, including but not limited to the remuneration of executive and corporate officers, general office wages and salaries, clerical expenses, HR, Accounting/Finance staff, overtime premiums, bonuses, all types </w:t>
      </w:r>
      <w:r w:rsidRPr="009C77AB">
        <w:lastRenderedPageBreak/>
        <w:t xml:space="preserve">of benefits paid by employer, for example, CPP, EI, fringe benefits, medical benefits, dental benefits, pension benefits and other taxable benefits. </w:t>
      </w:r>
    </w:p>
    <w:p w14:paraId="2EF35D11" w14:textId="77777777" w:rsidR="004A7A74" w:rsidRPr="00F47C14" w:rsidRDefault="004A7A74" w:rsidP="004A7A74">
      <w:pPr>
        <w:ind w:firstLine="360"/>
      </w:pPr>
      <w:r w:rsidRPr="00F47C14">
        <w:t xml:space="preserve">Administration costs spent on the following activities </w:t>
      </w:r>
      <w:proofErr w:type="gramStart"/>
      <w:r w:rsidRPr="00F47C14">
        <w:t>is</w:t>
      </w:r>
      <w:proofErr w:type="gramEnd"/>
      <w:r w:rsidRPr="00F47C14">
        <w:t xml:space="preserve"> considered an indirect cost:</w:t>
      </w:r>
    </w:p>
    <w:p w14:paraId="49462D11" w14:textId="77777777" w:rsidR="004A7A74" w:rsidRPr="00F47C14" w:rsidRDefault="004A7A74" w:rsidP="006E59AE">
      <w:pPr>
        <w:pStyle w:val="ListParagraph"/>
        <w:numPr>
          <w:ilvl w:val="0"/>
          <w:numId w:val="20"/>
        </w:numPr>
        <w:spacing w:after="200" w:line="276" w:lineRule="auto"/>
      </w:pPr>
      <w:r w:rsidRPr="00F47C14">
        <w:t xml:space="preserve">review and approval of documents, </w:t>
      </w:r>
    </w:p>
    <w:p w14:paraId="243BC17D" w14:textId="77777777" w:rsidR="004A7A74" w:rsidRPr="00F47C14" w:rsidRDefault="004A7A74" w:rsidP="006E59AE">
      <w:pPr>
        <w:pStyle w:val="ListParagraph"/>
        <w:numPr>
          <w:ilvl w:val="0"/>
          <w:numId w:val="20"/>
        </w:numPr>
        <w:spacing w:after="200" w:line="276" w:lineRule="auto"/>
      </w:pPr>
      <w:r w:rsidRPr="00F47C14">
        <w:t xml:space="preserve">oversight, </w:t>
      </w:r>
    </w:p>
    <w:p w14:paraId="237AA9DC" w14:textId="77777777" w:rsidR="004A7A74" w:rsidRPr="00F47C14" w:rsidRDefault="004A7A74" w:rsidP="006E59AE">
      <w:pPr>
        <w:pStyle w:val="ListParagraph"/>
        <w:numPr>
          <w:ilvl w:val="0"/>
          <w:numId w:val="20"/>
        </w:numPr>
        <w:spacing w:after="200" w:line="276" w:lineRule="auto"/>
      </w:pPr>
      <w:r w:rsidRPr="00F47C14">
        <w:t xml:space="preserve">quality review, </w:t>
      </w:r>
    </w:p>
    <w:p w14:paraId="33D32168" w14:textId="77777777" w:rsidR="004A7A74" w:rsidRPr="00F47C14" w:rsidRDefault="004A7A74" w:rsidP="006E59AE">
      <w:pPr>
        <w:pStyle w:val="ListParagraph"/>
        <w:numPr>
          <w:ilvl w:val="0"/>
          <w:numId w:val="20"/>
        </w:numPr>
        <w:spacing w:after="200" w:line="276" w:lineRule="auto"/>
      </w:pPr>
      <w:r w:rsidRPr="00F47C14">
        <w:t xml:space="preserve">strategic guidance, </w:t>
      </w:r>
    </w:p>
    <w:p w14:paraId="45B56D5F" w14:textId="77777777" w:rsidR="004A7A74" w:rsidRPr="00F47C14" w:rsidRDefault="004A7A74" w:rsidP="006E59AE">
      <w:pPr>
        <w:pStyle w:val="ListParagraph"/>
        <w:numPr>
          <w:ilvl w:val="0"/>
          <w:numId w:val="20"/>
        </w:numPr>
        <w:spacing w:after="200" w:line="276" w:lineRule="auto"/>
      </w:pPr>
      <w:r w:rsidRPr="00F47C14">
        <w:t xml:space="preserve">participation in all-staff meetings, </w:t>
      </w:r>
    </w:p>
    <w:p w14:paraId="5C31A024" w14:textId="77777777" w:rsidR="004A7A74" w:rsidRPr="00F47C14" w:rsidRDefault="004A7A74" w:rsidP="006E59AE">
      <w:pPr>
        <w:pStyle w:val="ListParagraph"/>
        <w:numPr>
          <w:ilvl w:val="0"/>
          <w:numId w:val="20"/>
        </w:numPr>
        <w:spacing w:after="200" w:line="276" w:lineRule="auto"/>
      </w:pPr>
      <w:r w:rsidRPr="00F47C14">
        <w:t xml:space="preserve">professional development, </w:t>
      </w:r>
    </w:p>
    <w:p w14:paraId="76D95B9E" w14:textId="77777777" w:rsidR="004A7A74" w:rsidRPr="00F47C14" w:rsidRDefault="004A7A74" w:rsidP="006E59AE">
      <w:pPr>
        <w:pStyle w:val="ListParagraph"/>
        <w:numPr>
          <w:ilvl w:val="0"/>
          <w:numId w:val="20"/>
        </w:numPr>
        <w:spacing w:after="200" w:line="276" w:lineRule="auto"/>
      </w:pPr>
      <w:r w:rsidRPr="00F47C14">
        <w:t xml:space="preserve">performance reviews and any costs associated with interactions with government including application, </w:t>
      </w:r>
    </w:p>
    <w:p w14:paraId="0B9CB4BD" w14:textId="77777777" w:rsidR="004A7A74" w:rsidRPr="00F47C14" w:rsidRDefault="004A7A74" w:rsidP="006E59AE">
      <w:pPr>
        <w:pStyle w:val="ListParagraph"/>
        <w:numPr>
          <w:ilvl w:val="0"/>
          <w:numId w:val="20"/>
        </w:numPr>
        <w:spacing w:after="200" w:line="276" w:lineRule="auto"/>
      </w:pPr>
      <w:r w:rsidRPr="00F47C14">
        <w:t xml:space="preserve">claims, </w:t>
      </w:r>
    </w:p>
    <w:p w14:paraId="15CE5F59" w14:textId="77777777" w:rsidR="004A7A74" w:rsidRPr="00F47C14" w:rsidRDefault="004A7A74" w:rsidP="006E59AE">
      <w:pPr>
        <w:pStyle w:val="ListParagraph"/>
        <w:numPr>
          <w:ilvl w:val="0"/>
          <w:numId w:val="20"/>
        </w:numPr>
        <w:spacing w:after="200" w:line="276" w:lineRule="auto"/>
      </w:pPr>
      <w:r w:rsidRPr="00F47C14">
        <w:t xml:space="preserve">amendment, and </w:t>
      </w:r>
    </w:p>
    <w:p w14:paraId="292CA503" w14:textId="77777777" w:rsidR="004A7A74" w:rsidRDefault="004A7A74" w:rsidP="006E59AE">
      <w:pPr>
        <w:pStyle w:val="ListParagraph"/>
        <w:numPr>
          <w:ilvl w:val="0"/>
          <w:numId w:val="20"/>
        </w:numPr>
        <w:spacing w:after="200" w:line="276" w:lineRule="auto"/>
      </w:pPr>
      <w:r w:rsidRPr="00F47C14">
        <w:t xml:space="preserve">audit and reporting communications. </w:t>
      </w:r>
    </w:p>
    <w:p w14:paraId="022093C1" w14:textId="77777777" w:rsidR="007D744B" w:rsidRPr="00F47C14" w:rsidRDefault="007D744B" w:rsidP="007D744B">
      <w:pPr>
        <w:pStyle w:val="ListParagraph"/>
        <w:spacing w:after="200" w:line="276" w:lineRule="auto"/>
        <w:ind w:left="1440"/>
      </w:pPr>
    </w:p>
    <w:p w14:paraId="4A0C8916" w14:textId="77777777" w:rsidR="004A7A74" w:rsidRDefault="004A7A74" w:rsidP="006E59AE">
      <w:pPr>
        <w:pStyle w:val="ListParagraph"/>
        <w:numPr>
          <w:ilvl w:val="0"/>
          <w:numId w:val="24"/>
        </w:numPr>
        <w:spacing w:after="200" w:line="276" w:lineRule="auto"/>
      </w:pPr>
      <w:r w:rsidRPr="009C77AB">
        <w:t xml:space="preserve">Indirect building costs including, but not limited to, snowplowing costs, public utilities expenses of a general nature including but not limited to, power, HVAC, lighting, and the operation and maintenance of general assets and </w:t>
      </w:r>
      <w:proofErr w:type="gramStart"/>
      <w:r w:rsidRPr="009C77AB">
        <w:t>facilities;</w:t>
      </w:r>
      <w:proofErr w:type="gramEnd"/>
      <w:r w:rsidRPr="009C77AB">
        <w:t xml:space="preserve"> </w:t>
      </w:r>
    </w:p>
    <w:p w14:paraId="5DF3E523" w14:textId="77777777" w:rsidR="004A7A74" w:rsidRDefault="004A7A74" w:rsidP="004A7A74">
      <w:pPr>
        <w:pStyle w:val="ListParagraph"/>
      </w:pPr>
    </w:p>
    <w:p w14:paraId="70AA48E0" w14:textId="77777777" w:rsidR="004A7A74" w:rsidRPr="009C77AB" w:rsidRDefault="004A7A74" w:rsidP="006E59AE">
      <w:pPr>
        <w:pStyle w:val="ListParagraph"/>
        <w:numPr>
          <w:ilvl w:val="0"/>
          <w:numId w:val="24"/>
        </w:numPr>
        <w:spacing w:after="200" w:line="276" w:lineRule="auto"/>
      </w:pPr>
      <w:r w:rsidRPr="009C77AB">
        <w:t xml:space="preserve">Expenses such as property taxes, rentals of equipment and building (not covered as part of direct costs) and depreciation </w:t>
      </w:r>
      <w:proofErr w:type="gramStart"/>
      <w:r w:rsidRPr="009C77AB">
        <w:t>costs;</w:t>
      </w:r>
      <w:proofErr w:type="gramEnd"/>
      <w:r w:rsidRPr="009C77AB">
        <w:t xml:space="preserve"> </w:t>
      </w:r>
    </w:p>
    <w:p w14:paraId="4FBABF6C" w14:textId="77777777" w:rsidR="004A7A74" w:rsidRPr="009C77AB" w:rsidRDefault="004A7A74" w:rsidP="004A7A74">
      <w:pPr>
        <w:pStyle w:val="ListParagraph"/>
      </w:pPr>
    </w:p>
    <w:p w14:paraId="4A4E6A6D" w14:textId="77777777" w:rsidR="004A7A74" w:rsidRDefault="004A7A74" w:rsidP="006E59AE">
      <w:pPr>
        <w:pStyle w:val="ListParagraph"/>
        <w:numPr>
          <w:ilvl w:val="0"/>
          <w:numId w:val="24"/>
        </w:numPr>
        <w:spacing w:after="200" w:line="276" w:lineRule="auto"/>
      </w:pPr>
      <w:r w:rsidRPr="009C77AB">
        <w:t xml:space="preserve">Indirect equipment costs including, but not limited to, maintenance cost of assets, office equipment, office furniture, etc.; and </w:t>
      </w:r>
    </w:p>
    <w:p w14:paraId="3D55A96B" w14:textId="77777777" w:rsidR="004A7A74" w:rsidRPr="009C77AB" w:rsidRDefault="004A7A74" w:rsidP="004A7A74">
      <w:pPr>
        <w:pStyle w:val="ListParagraph"/>
      </w:pPr>
    </w:p>
    <w:p w14:paraId="1A515533" w14:textId="49E4F024" w:rsidR="004A7A74" w:rsidRPr="009C77AB" w:rsidRDefault="004A7A74" w:rsidP="006E59AE">
      <w:pPr>
        <w:pStyle w:val="ListParagraph"/>
        <w:numPr>
          <w:ilvl w:val="0"/>
          <w:numId w:val="24"/>
        </w:numPr>
        <w:spacing w:after="200" w:line="276" w:lineRule="auto"/>
      </w:pPr>
      <w:r w:rsidRPr="009C77AB">
        <w:t xml:space="preserve">Other indirect costs </w:t>
      </w:r>
      <w:r w:rsidR="005A1336" w:rsidRPr="009C77AB">
        <w:t>include</w:t>
      </w:r>
      <w:r w:rsidRPr="009C77AB">
        <w:t xml:space="preserve">, but </w:t>
      </w:r>
      <w:r w:rsidR="000E4A0D" w:rsidRPr="009C77AB">
        <w:t>are not</w:t>
      </w:r>
      <w:r w:rsidRPr="009C77AB">
        <w:t xml:space="preserve"> limited to, daily commutes, unreasonable modes of transportation, general software and licenses, and travel insurance. </w:t>
      </w:r>
    </w:p>
    <w:p w14:paraId="3D3E4B83" w14:textId="3A6B21A6" w:rsidR="004A7A74" w:rsidRPr="00F47C14" w:rsidRDefault="004A7A74" w:rsidP="004A7A74">
      <w:pPr>
        <w:ind w:left="360"/>
      </w:pPr>
      <w:r w:rsidRPr="00F47C14">
        <w:t xml:space="preserve">Indirect Costs (Overhead) thresholds of fifty-five percent (55%) on eligible direct labour but no more than fifteen percent (15%) of total Eligible Supported Costs will apply for each Ultimate Recipient(s) (and for each individual Eligible Project if more than one Eligible Project is selected for </w:t>
      </w:r>
      <w:r w:rsidR="000E4A0D" w:rsidRPr="00F47C14">
        <w:t>an</w:t>
      </w:r>
      <w:r w:rsidRPr="00F47C14">
        <w:t xml:space="preserve"> Ultimate Recipient). </w:t>
      </w:r>
    </w:p>
    <w:p w14:paraId="19E3AD18" w14:textId="77777777" w:rsidR="004A7A74" w:rsidRDefault="004A7A74" w:rsidP="004A7A74">
      <w:pPr>
        <w:ind w:left="360"/>
      </w:pPr>
      <w:r w:rsidRPr="00F47C14">
        <w:t xml:space="preserve">* In the case of Recipients with high Subcontractors and Consultants costs or low Direct Labour costs: Indirect Costs (Overhead) thresholds calculated to a maximum of five percent (5%) on eligible Subcontractors and Consultants costs, but no more than fifteen percent (15%) of total Eligible Supported Costs may apply. Such thresholds would be calculated for each Recipient and each individual Eligible Project if more than one Eligible Project is selected for an Ultimate </w:t>
      </w:r>
      <w:proofErr w:type="gramStart"/>
      <w:r w:rsidRPr="00F47C14">
        <w:t>Recipient).</w:t>
      </w:r>
      <w:proofErr w:type="gramEnd"/>
    </w:p>
    <w:p w14:paraId="0F316BD0" w14:textId="77777777" w:rsidR="007C2DA2" w:rsidRDefault="007C2DA2" w:rsidP="004A7A74">
      <w:pPr>
        <w:ind w:left="360"/>
      </w:pPr>
    </w:p>
    <w:p w14:paraId="3D37880B" w14:textId="77777777" w:rsidR="007C2DA2" w:rsidRDefault="007C2DA2" w:rsidP="004A7A74">
      <w:pPr>
        <w:ind w:left="360"/>
      </w:pPr>
    </w:p>
    <w:p w14:paraId="4E7436A7" w14:textId="28C26069" w:rsidR="004A7A74" w:rsidRPr="00A3360C" w:rsidRDefault="004A7A74" w:rsidP="006E59AE">
      <w:pPr>
        <w:pStyle w:val="Heading2"/>
        <w:numPr>
          <w:ilvl w:val="0"/>
          <w:numId w:val="26"/>
        </w:numPr>
        <w:ind w:left="363" w:hanging="363"/>
      </w:pPr>
      <w:bookmarkStart w:id="30" w:name="_Toc153363313"/>
      <w:r w:rsidRPr="00A3360C">
        <w:lastRenderedPageBreak/>
        <w:t>Ineligible Costs</w:t>
      </w:r>
      <w:bookmarkEnd w:id="30"/>
      <w:r w:rsidRPr="00A3360C">
        <w:t xml:space="preserve"> </w:t>
      </w:r>
    </w:p>
    <w:p w14:paraId="5B6182B4" w14:textId="51FE5A24" w:rsidR="004A7A74" w:rsidRPr="00F47C14" w:rsidRDefault="004A7A74" w:rsidP="004A7A74">
      <w:pPr>
        <w:ind w:left="360"/>
      </w:pPr>
      <w:r w:rsidRPr="00F47C14">
        <w:t xml:space="preserve">Ineligible Costs incurred and paid by the Ultimate Recipient(s) are not eligible for SIF Contribution, regardless of whether they are reasonably and properly incurred and paid in the carrying out of the </w:t>
      </w:r>
      <w:r w:rsidR="004D019F">
        <w:t>project a</w:t>
      </w:r>
      <w:r w:rsidRPr="00F47C14">
        <w:t>ctivities.</w:t>
      </w:r>
    </w:p>
    <w:p w14:paraId="46E00BA8" w14:textId="6A83F023" w:rsidR="004A7A74" w:rsidRDefault="004A7A74" w:rsidP="006E59AE">
      <w:pPr>
        <w:pStyle w:val="ListParagraph"/>
        <w:numPr>
          <w:ilvl w:val="0"/>
          <w:numId w:val="25"/>
        </w:numPr>
        <w:spacing w:after="200" w:line="276" w:lineRule="auto"/>
      </w:pPr>
      <w:r w:rsidRPr="00BB11BE">
        <w:t xml:space="preserve">any form of interest paid or payable on invested capital, bonds, debentures, </w:t>
      </w:r>
      <w:r w:rsidR="009116E2" w:rsidRPr="00BB11BE">
        <w:t>bank,</w:t>
      </w:r>
      <w:r w:rsidRPr="00BB11BE">
        <w:t xml:space="preserve"> or other loans together with related bond discounts and finance charges; the interest portion of the lease cost that is attributable to </w:t>
      </w:r>
      <w:proofErr w:type="gramStart"/>
      <w:r w:rsidRPr="00BB11BE">
        <w:t>cost</w:t>
      </w:r>
      <w:proofErr w:type="gramEnd"/>
      <w:r w:rsidRPr="00BB11BE">
        <w:t xml:space="preserve"> of borrowing regardless of types of </w:t>
      </w:r>
      <w:proofErr w:type="gramStart"/>
      <w:r w:rsidRPr="00BB11BE">
        <w:t>lease;</w:t>
      </w:r>
      <w:proofErr w:type="gramEnd"/>
      <w:r w:rsidRPr="00BB11BE">
        <w:t xml:space="preserve"> </w:t>
      </w:r>
    </w:p>
    <w:p w14:paraId="1C2C04D3" w14:textId="77777777" w:rsidR="004A7A74" w:rsidRDefault="004A7A74" w:rsidP="004A7A74">
      <w:pPr>
        <w:pStyle w:val="ListParagraph"/>
      </w:pPr>
    </w:p>
    <w:p w14:paraId="5FC1CF7E" w14:textId="495C0429" w:rsidR="004A7A74" w:rsidRPr="00BB11BE" w:rsidRDefault="004A7A74" w:rsidP="006E59AE">
      <w:pPr>
        <w:pStyle w:val="ListParagraph"/>
        <w:numPr>
          <w:ilvl w:val="0"/>
          <w:numId w:val="25"/>
        </w:numPr>
        <w:spacing w:after="200" w:line="276" w:lineRule="auto"/>
      </w:pPr>
      <w:r w:rsidRPr="00BB11BE">
        <w:t xml:space="preserve">legal, accounting and consulting fees in connection with financial reorganization (including the set-up of new not-for-profit organizations), security issues, capital stock issues, obtaining of licenses, </w:t>
      </w:r>
      <w:r w:rsidR="009116E2" w:rsidRPr="00BB11BE">
        <w:t>establishment,</w:t>
      </w:r>
      <w:r w:rsidRPr="00BB11BE">
        <w:t xml:space="preserve"> and management of agreements with Ultimate Recipients and prosecution of claims against the Minister. Such legal costs associated with developing the agreement template and in connection with obtaining patents or other statutory protection for Network intellectual property are considered </w:t>
      </w:r>
      <w:proofErr w:type="gramStart"/>
      <w:r w:rsidRPr="00BB11BE">
        <w:t>eligible;</w:t>
      </w:r>
      <w:proofErr w:type="gramEnd"/>
      <w:r w:rsidRPr="00BB11BE">
        <w:t xml:space="preserve"> </w:t>
      </w:r>
    </w:p>
    <w:p w14:paraId="2942017F" w14:textId="77777777" w:rsidR="004A7A74" w:rsidRPr="00BB11BE" w:rsidRDefault="004A7A74" w:rsidP="004A7A74">
      <w:pPr>
        <w:pStyle w:val="ListParagraph"/>
      </w:pPr>
    </w:p>
    <w:p w14:paraId="64402E1D" w14:textId="69BC4A59" w:rsidR="004A7A74" w:rsidRDefault="004A7A74" w:rsidP="006E59AE">
      <w:pPr>
        <w:pStyle w:val="ListParagraph"/>
        <w:numPr>
          <w:ilvl w:val="0"/>
          <w:numId w:val="25"/>
        </w:numPr>
        <w:spacing w:after="200" w:line="276" w:lineRule="auto"/>
      </w:pPr>
      <w:r w:rsidRPr="00BB11BE">
        <w:t xml:space="preserve">losses on investments, bad </w:t>
      </w:r>
      <w:r w:rsidR="009116E2" w:rsidRPr="00BB11BE">
        <w:t>debts,</w:t>
      </w:r>
      <w:r w:rsidRPr="00BB11BE">
        <w:t xml:space="preserve"> and expenses for the collection </w:t>
      </w:r>
      <w:proofErr w:type="gramStart"/>
      <w:r w:rsidRPr="00BB11BE">
        <w:t>charges;</w:t>
      </w:r>
      <w:proofErr w:type="gramEnd"/>
      <w:r w:rsidRPr="00BB11BE">
        <w:t xml:space="preserve"> </w:t>
      </w:r>
    </w:p>
    <w:p w14:paraId="0D360B98" w14:textId="77777777" w:rsidR="004A7A74" w:rsidRPr="00BB11BE" w:rsidRDefault="004A7A74" w:rsidP="004A7A74">
      <w:pPr>
        <w:pStyle w:val="ListParagraph"/>
      </w:pPr>
    </w:p>
    <w:p w14:paraId="6D677FC3" w14:textId="77777777" w:rsidR="004A7A74" w:rsidRDefault="004A7A74" w:rsidP="006E59AE">
      <w:pPr>
        <w:pStyle w:val="ListParagraph"/>
        <w:numPr>
          <w:ilvl w:val="0"/>
          <w:numId w:val="25"/>
        </w:numPr>
        <w:spacing w:after="200" w:line="276" w:lineRule="auto"/>
      </w:pPr>
      <w:r w:rsidRPr="00BB11BE">
        <w:t xml:space="preserve">losses on other projects or </w:t>
      </w:r>
      <w:proofErr w:type="gramStart"/>
      <w:r w:rsidRPr="00BB11BE">
        <w:t>contracts;</w:t>
      </w:r>
      <w:proofErr w:type="gramEnd"/>
      <w:r w:rsidRPr="00BB11BE">
        <w:t xml:space="preserve"> </w:t>
      </w:r>
    </w:p>
    <w:p w14:paraId="369D48DD" w14:textId="77777777" w:rsidR="004A7A74" w:rsidRPr="00BB11BE" w:rsidRDefault="004A7A74" w:rsidP="004A7A74">
      <w:pPr>
        <w:pStyle w:val="ListParagraph"/>
      </w:pPr>
    </w:p>
    <w:p w14:paraId="4B0104DA" w14:textId="77777777" w:rsidR="004A7A74" w:rsidRDefault="004A7A74" w:rsidP="006E59AE">
      <w:pPr>
        <w:pStyle w:val="ListParagraph"/>
        <w:numPr>
          <w:ilvl w:val="0"/>
          <w:numId w:val="25"/>
        </w:numPr>
        <w:spacing w:after="200" w:line="276" w:lineRule="auto"/>
      </w:pPr>
      <w:r w:rsidRPr="00BB11BE">
        <w:t xml:space="preserve">federal and provincial income taxes, goods and services taxes, value added taxes, excess profit taxes or surtaxes and/or special expenses in connection with those taxes, except duty taxes paid for importing is Eligible Cost. </w:t>
      </w:r>
    </w:p>
    <w:p w14:paraId="0123EC60" w14:textId="77777777" w:rsidR="004A7A74" w:rsidRPr="00BB11BE" w:rsidRDefault="004A7A74" w:rsidP="004A7A74">
      <w:pPr>
        <w:pStyle w:val="ListParagraph"/>
      </w:pPr>
    </w:p>
    <w:p w14:paraId="5A2FD5CC" w14:textId="77777777" w:rsidR="004A7A74" w:rsidRDefault="004A7A74" w:rsidP="006E59AE">
      <w:pPr>
        <w:pStyle w:val="ListParagraph"/>
        <w:numPr>
          <w:ilvl w:val="0"/>
          <w:numId w:val="25"/>
        </w:numPr>
        <w:spacing w:after="200" w:line="276" w:lineRule="auto"/>
      </w:pPr>
      <w:r w:rsidRPr="00BB11BE">
        <w:t xml:space="preserve">provisions for </w:t>
      </w:r>
      <w:proofErr w:type="gramStart"/>
      <w:r w:rsidRPr="00BB11BE">
        <w:t>contingencies;</w:t>
      </w:r>
      <w:proofErr w:type="gramEnd"/>
      <w:r w:rsidRPr="00BB11BE">
        <w:t xml:space="preserve"> </w:t>
      </w:r>
    </w:p>
    <w:p w14:paraId="7829D26B" w14:textId="77777777" w:rsidR="004A7A74" w:rsidRPr="00BB11BE" w:rsidRDefault="004A7A74" w:rsidP="004A7A74">
      <w:pPr>
        <w:pStyle w:val="ListParagraph"/>
      </w:pPr>
    </w:p>
    <w:p w14:paraId="777A39F8" w14:textId="77777777" w:rsidR="004A7A74" w:rsidRDefault="004A7A74" w:rsidP="006E59AE">
      <w:pPr>
        <w:pStyle w:val="ListParagraph"/>
        <w:numPr>
          <w:ilvl w:val="0"/>
          <w:numId w:val="25"/>
        </w:numPr>
        <w:spacing w:after="200" w:line="276" w:lineRule="auto"/>
      </w:pPr>
      <w:r w:rsidRPr="00BB11BE">
        <w:t xml:space="preserve">premiums for life insurance on the lives of officers and/or directors where proceeds accrue to the </w:t>
      </w:r>
      <w:proofErr w:type="gramStart"/>
      <w:r w:rsidRPr="00BB11BE">
        <w:t>Recipient;</w:t>
      </w:r>
      <w:proofErr w:type="gramEnd"/>
      <w:r w:rsidRPr="00BB11BE">
        <w:t xml:space="preserve"> </w:t>
      </w:r>
    </w:p>
    <w:p w14:paraId="270EDCE6" w14:textId="77777777" w:rsidR="004A7A74" w:rsidRPr="00BB11BE" w:rsidRDefault="004A7A74" w:rsidP="004A7A74">
      <w:pPr>
        <w:pStyle w:val="ListParagraph"/>
      </w:pPr>
    </w:p>
    <w:p w14:paraId="003D3C80" w14:textId="77777777" w:rsidR="004A7A74" w:rsidRDefault="004A7A74" w:rsidP="006E59AE">
      <w:pPr>
        <w:pStyle w:val="ListParagraph"/>
        <w:numPr>
          <w:ilvl w:val="0"/>
          <w:numId w:val="25"/>
        </w:numPr>
        <w:spacing w:after="200" w:line="276" w:lineRule="auto"/>
      </w:pPr>
      <w:r w:rsidRPr="00BB11BE">
        <w:t xml:space="preserve">amortization of unrealized appreciation of </w:t>
      </w:r>
      <w:proofErr w:type="gramStart"/>
      <w:r w:rsidRPr="00BB11BE">
        <w:t>assets;</w:t>
      </w:r>
      <w:proofErr w:type="gramEnd"/>
      <w:r w:rsidRPr="00BB11BE">
        <w:t xml:space="preserve"> </w:t>
      </w:r>
    </w:p>
    <w:p w14:paraId="48469EEA" w14:textId="77777777" w:rsidR="004A7A74" w:rsidRPr="00BB11BE" w:rsidRDefault="004A7A74" w:rsidP="004A7A74">
      <w:pPr>
        <w:pStyle w:val="ListParagraph"/>
      </w:pPr>
    </w:p>
    <w:p w14:paraId="584B5B7D" w14:textId="77777777" w:rsidR="004A7A74" w:rsidRDefault="004A7A74" w:rsidP="006E59AE">
      <w:pPr>
        <w:pStyle w:val="ListParagraph"/>
        <w:numPr>
          <w:ilvl w:val="0"/>
          <w:numId w:val="25"/>
        </w:numPr>
        <w:spacing w:after="200" w:line="276" w:lineRule="auto"/>
      </w:pPr>
      <w:r w:rsidRPr="00BB11BE">
        <w:t xml:space="preserve">depreciation of assets paid for by the </w:t>
      </w:r>
      <w:proofErr w:type="gramStart"/>
      <w:r w:rsidRPr="00BB11BE">
        <w:t>Minister;</w:t>
      </w:r>
      <w:proofErr w:type="gramEnd"/>
      <w:r w:rsidRPr="00BB11BE">
        <w:t xml:space="preserve"> </w:t>
      </w:r>
    </w:p>
    <w:p w14:paraId="5E01A286" w14:textId="77777777" w:rsidR="004A7A74" w:rsidRPr="00BB11BE" w:rsidRDefault="004A7A74" w:rsidP="004A7A74">
      <w:pPr>
        <w:pStyle w:val="ListParagraph"/>
      </w:pPr>
    </w:p>
    <w:p w14:paraId="7FC4DFE5" w14:textId="77777777" w:rsidR="004A7A74" w:rsidRDefault="004A7A74" w:rsidP="006E59AE">
      <w:pPr>
        <w:pStyle w:val="ListParagraph"/>
        <w:numPr>
          <w:ilvl w:val="0"/>
          <w:numId w:val="25"/>
        </w:numPr>
        <w:spacing w:after="200" w:line="276" w:lineRule="auto"/>
      </w:pPr>
      <w:r w:rsidRPr="00BB11BE">
        <w:t xml:space="preserve">fines and </w:t>
      </w:r>
      <w:proofErr w:type="gramStart"/>
      <w:r w:rsidRPr="00BB11BE">
        <w:t>penalties;</w:t>
      </w:r>
      <w:proofErr w:type="gramEnd"/>
      <w:r w:rsidRPr="00BB11BE">
        <w:t xml:space="preserve"> </w:t>
      </w:r>
    </w:p>
    <w:p w14:paraId="3ECE3FA4" w14:textId="77777777" w:rsidR="004A7A74" w:rsidRPr="00BB11BE" w:rsidRDefault="004A7A74" w:rsidP="004A7A74">
      <w:pPr>
        <w:pStyle w:val="ListParagraph"/>
      </w:pPr>
    </w:p>
    <w:p w14:paraId="096C3C57" w14:textId="77777777" w:rsidR="004A7A74" w:rsidRDefault="004A7A74" w:rsidP="006E59AE">
      <w:pPr>
        <w:pStyle w:val="ListParagraph"/>
        <w:numPr>
          <w:ilvl w:val="0"/>
          <w:numId w:val="25"/>
        </w:numPr>
        <w:spacing w:after="200" w:line="276" w:lineRule="auto"/>
      </w:pPr>
      <w:r w:rsidRPr="00BB11BE">
        <w:t xml:space="preserve">expenses and depreciation of excess </w:t>
      </w:r>
      <w:proofErr w:type="gramStart"/>
      <w:r w:rsidRPr="00BB11BE">
        <w:t>facilities;</w:t>
      </w:r>
      <w:proofErr w:type="gramEnd"/>
      <w:r w:rsidRPr="00BB11BE">
        <w:t xml:space="preserve"> </w:t>
      </w:r>
    </w:p>
    <w:p w14:paraId="18538D34" w14:textId="77777777" w:rsidR="004A7A74" w:rsidRPr="00BB11BE" w:rsidRDefault="004A7A74" w:rsidP="004A7A74">
      <w:pPr>
        <w:pStyle w:val="ListParagraph"/>
      </w:pPr>
    </w:p>
    <w:p w14:paraId="585CD530" w14:textId="77777777" w:rsidR="004A7A74" w:rsidRDefault="004A7A74" w:rsidP="006E59AE">
      <w:pPr>
        <w:pStyle w:val="ListParagraph"/>
        <w:numPr>
          <w:ilvl w:val="0"/>
          <w:numId w:val="25"/>
        </w:numPr>
        <w:spacing w:after="200" w:line="276" w:lineRule="auto"/>
      </w:pPr>
      <w:r w:rsidRPr="00BB11BE">
        <w:t xml:space="preserve">unreasonable compensation for officers and </w:t>
      </w:r>
      <w:proofErr w:type="gramStart"/>
      <w:r w:rsidRPr="00BB11BE">
        <w:t>employees;</w:t>
      </w:r>
      <w:proofErr w:type="gramEnd"/>
      <w:r w:rsidRPr="00BB11BE">
        <w:t xml:space="preserve"> </w:t>
      </w:r>
    </w:p>
    <w:p w14:paraId="7C6B6F58" w14:textId="77777777" w:rsidR="004A7A74" w:rsidRPr="00BB11BE" w:rsidRDefault="004A7A74" w:rsidP="004A7A74">
      <w:pPr>
        <w:pStyle w:val="ListParagraph"/>
      </w:pPr>
    </w:p>
    <w:p w14:paraId="409B8C2A" w14:textId="77777777" w:rsidR="004A7A74" w:rsidRDefault="004A7A74" w:rsidP="006E59AE">
      <w:pPr>
        <w:pStyle w:val="ListParagraph"/>
        <w:numPr>
          <w:ilvl w:val="0"/>
          <w:numId w:val="25"/>
        </w:numPr>
        <w:spacing w:after="200" w:line="276" w:lineRule="auto"/>
      </w:pPr>
      <w:r w:rsidRPr="00BB11BE">
        <w:t xml:space="preserve">product development or improvement expenses not associated with the work being performed under the </w:t>
      </w:r>
      <w:proofErr w:type="gramStart"/>
      <w:r w:rsidRPr="00BB11BE">
        <w:t>Network;</w:t>
      </w:r>
      <w:proofErr w:type="gramEnd"/>
      <w:r w:rsidRPr="00BB11BE">
        <w:t xml:space="preserve"> </w:t>
      </w:r>
    </w:p>
    <w:p w14:paraId="2A5CF137" w14:textId="77777777" w:rsidR="004A7A74" w:rsidRPr="00BB11BE" w:rsidRDefault="004A7A74" w:rsidP="004A7A74">
      <w:pPr>
        <w:pStyle w:val="ListParagraph"/>
      </w:pPr>
    </w:p>
    <w:p w14:paraId="4A9E892C" w14:textId="77777777" w:rsidR="004A7A74" w:rsidRDefault="004A7A74" w:rsidP="006E59AE">
      <w:pPr>
        <w:pStyle w:val="ListParagraph"/>
        <w:numPr>
          <w:ilvl w:val="0"/>
          <w:numId w:val="25"/>
        </w:numPr>
        <w:spacing w:after="200" w:line="276" w:lineRule="auto"/>
      </w:pPr>
      <w:r w:rsidRPr="00BB11BE">
        <w:lastRenderedPageBreak/>
        <w:t xml:space="preserve">advertising, except reasonable advertising of an industrial or institutional character placed in trade, technical or professional journals for the dissemination of information for the industry or </w:t>
      </w:r>
      <w:proofErr w:type="gramStart"/>
      <w:r w:rsidRPr="00BB11BE">
        <w:t>institution;</w:t>
      </w:r>
      <w:proofErr w:type="gramEnd"/>
      <w:r w:rsidRPr="00BB11BE">
        <w:t xml:space="preserve"> </w:t>
      </w:r>
    </w:p>
    <w:p w14:paraId="3F012DAF" w14:textId="77777777" w:rsidR="004A7A74" w:rsidRPr="00BB11BE" w:rsidRDefault="004A7A74" w:rsidP="004A7A74">
      <w:pPr>
        <w:pStyle w:val="ListParagraph"/>
      </w:pPr>
    </w:p>
    <w:p w14:paraId="2B425E1B" w14:textId="77777777" w:rsidR="004A7A74" w:rsidRDefault="004A7A74" w:rsidP="006E59AE">
      <w:pPr>
        <w:pStyle w:val="ListParagraph"/>
        <w:numPr>
          <w:ilvl w:val="0"/>
          <w:numId w:val="25"/>
        </w:numPr>
        <w:spacing w:after="200" w:line="276" w:lineRule="auto"/>
      </w:pPr>
      <w:r w:rsidRPr="00BB11BE">
        <w:t xml:space="preserve">entertainment expenses (including but not limited </w:t>
      </w:r>
      <w:proofErr w:type="gramStart"/>
      <w:r w:rsidRPr="00BB11BE">
        <w:t>to,</w:t>
      </w:r>
      <w:proofErr w:type="gramEnd"/>
      <w:r w:rsidRPr="00BB11BE">
        <w:t xml:space="preserve"> alcohol, non-travel expenses</w:t>
      </w:r>
      <w:proofErr w:type="gramStart"/>
      <w:r w:rsidRPr="00BB11BE">
        <w:t>);</w:t>
      </w:r>
      <w:proofErr w:type="gramEnd"/>
      <w:r w:rsidRPr="00BB11BE">
        <w:t xml:space="preserve"> </w:t>
      </w:r>
    </w:p>
    <w:p w14:paraId="2C20E8E2" w14:textId="77777777" w:rsidR="004A7A74" w:rsidRPr="00BB11BE" w:rsidRDefault="004A7A74" w:rsidP="004A7A74">
      <w:pPr>
        <w:pStyle w:val="ListParagraph"/>
      </w:pPr>
    </w:p>
    <w:p w14:paraId="0592ECFD" w14:textId="77777777" w:rsidR="004A7A74" w:rsidRDefault="004A7A74" w:rsidP="006E59AE">
      <w:pPr>
        <w:pStyle w:val="ListParagraph"/>
        <w:numPr>
          <w:ilvl w:val="0"/>
          <w:numId w:val="25"/>
        </w:numPr>
        <w:spacing w:after="200" w:line="276" w:lineRule="auto"/>
      </w:pPr>
      <w:proofErr w:type="gramStart"/>
      <w:r w:rsidRPr="00BB11BE">
        <w:t>donations;</w:t>
      </w:r>
      <w:proofErr w:type="gramEnd"/>
      <w:r w:rsidRPr="00BB11BE">
        <w:t xml:space="preserve"> </w:t>
      </w:r>
    </w:p>
    <w:p w14:paraId="709A52F0" w14:textId="77777777" w:rsidR="004A7A74" w:rsidRPr="00BB11BE" w:rsidRDefault="004A7A74" w:rsidP="004A7A74">
      <w:pPr>
        <w:pStyle w:val="ListParagraph"/>
      </w:pPr>
    </w:p>
    <w:p w14:paraId="6B6CC7C2" w14:textId="77777777" w:rsidR="004A7A74" w:rsidRDefault="004A7A74" w:rsidP="006E59AE">
      <w:pPr>
        <w:pStyle w:val="ListParagraph"/>
        <w:numPr>
          <w:ilvl w:val="0"/>
          <w:numId w:val="25"/>
        </w:numPr>
        <w:spacing w:after="200" w:line="276" w:lineRule="auto"/>
      </w:pPr>
      <w:r w:rsidRPr="00BB11BE">
        <w:t xml:space="preserve">dues and other memberships other than regular trade and professional </w:t>
      </w:r>
      <w:proofErr w:type="gramStart"/>
      <w:r w:rsidRPr="00BB11BE">
        <w:t>associations;</w:t>
      </w:r>
      <w:proofErr w:type="gramEnd"/>
      <w:r w:rsidRPr="00BB11BE">
        <w:t xml:space="preserve"> </w:t>
      </w:r>
    </w:p>
    <w:p w14:paraId="47384002" w14:textId="77777777" w:rsidR="004A7A74" w:rsidRPr="00BB11BE" w:rsidRDefault="004A7A74" w:rsidP="004A7A74">
      <w:pPr>
        <w:pStyle w:val="ListParagraph"/>
      </w:pPr>
    </w:p>
    <w:p w14:paraId="53FC612B" w14:textId="5980B3D7" w:rsidR="004A7A74" w:rsidRDefault="004A7A74" w:rsidP="006E59AE">
      <w:pPr>
        <w:pStyle w:val="ListParagraph"/>
        <w:numPr>
          <w:ilvl w:val="0"/>
          <w:numId w:val="25"/>
        </w:numPr>
        <w:spacing w:after="200" w:line="276" w:lineRule="auto"/>
      </w:pPr>
      <w:r w:rsidRPr="00BB11BE">
        <w:t xml:space="preserve">extraordinary or abnormal fees for professional advice </w:t>
      </w:r>
      <w:proofErr w:type="gramStart"/>
      <w:r w:rsidRPr="00BB11BE">
        <w:t>in regard to</w:t>
      </w:r>
      <w:proofErr w:type="gramEnd"/>
      <w:r w:rsidRPr="00BB11BE">
        <w:t xml:space="preserve"> technical, </w:t>
      </w:r>
      <w:r w:rsidR="009116E2" w:rsidRPr="00BB11BE">
        <w:t>administrative,</w:t>
      </w:r>
      <w:r w:rsidRPr="00BB11BE">
        <w:t xml:space="preserve"> or accounting matters, unless approval from the Minister is </w:t>
      </w:r>
      <w:proofErr w:type="gramStart"/>
      <w:r w:rsidRPr="00BB11BE">
        <w:t>obtained;</w:t>
      </w:r>
      <w:proofErr w:type="gramEnd"/>
      <w:r w:rsidRPr="00BB11BE">
        <w:t xml:space="preserve"> </w:t>
      </w:r>
    </w:p>
    <w:p w14:paraId="1428A3A9" w14:textId="77777777" w:rsidR="004A7A74" w:rsidRPr="00BB11BE" w:rsidRDefault="004A7A74" w:rsidP="004A7A74">
      <w:pPr>
        <w:pStyle w:val="ListParagraph"/>
      </w:pPr>
    </w:p>
    <w:p w14:paraId="761B5997" w14:textId="5D75517C" w:rsidR="004A7A74" w:rsidRDefault="004A7A74" w:rsidP="006E59AE">
      <w:pPr>
        <w:pStyle w:val="ListParagraph"/>
        <w:numPr>
          <w:ilvl w:val="0"/>
          <w:numId w:val="25"/>
        </w:numPr>
        <w:spacing w:after="200" w:line="276" w:lineRule="auto"/>
      </w:pPr>
      <w:r w:rsidRPr="00BB11BE">
        <w:t xml:space="preserve">selling and marketing expenses associated with the products or </w:t>
      </w:r>
      <w:r w:rsidR="000E4A0D" w:rsidRPr="00BB11BE">
        <w:t>services,</w:t>
      </w:r>
      <w:r w:rsidRPr="00BB11BE">
        <w:t xml:space="preserve"> or both being developed under the </w:t>
      </w:r>
      <w:proofErr w:type="gramStart"/>
      <w:r w:rsidRPr="00BB11BE">
        <w:t>Agreement;</w:t>
      </w:r>
      <w:proofErr w:type="gramEnd"/>
      <w:r w:rsidRPr="00BB11BE">
        <w:t xml:space="preserve"> </w:t>
      </w:r>
    </w:p>
    <w:p w14:paraId="1248F5D6" w14:textId="77777777" w:rsidR="004A7A74" w:rsidRPr="00BB11BE" w:rsidRDefault="004A7A74" w:rsidP="004A7A74">
      <w:pPr>
        <w:pStyle w:val="ListParagraph"/>
      </w:pPr>
    </w:p>
    <w:p w14:paraId="140BCF83" w14:textId="77777777" w:rsidR="004A7A74" w:rsidRDefault="004A7A74" w:rsidP="006E59AE">
      <w:pPr>
        <w:pStyle w:val="ListParagraph"/>
        <w:numPr>
          <w:ilvl w:val="0"/>
          <w:numId w:val="25"/>
        </w:numPr>
        <w:spacing w:after="200" w:line="276" w:lineRule="auto"/>
      </w:pPr>
      <w:r w:rsidRPr="00BB11BE">
        <w:t xml:space="preserve">in-kind costs; and </w:t>
      </w:r>
    </w:p>
    <w:p w14:paraId="242493FB" w14:textId="77777777" w:rsidR="004A7A74" w:rsidRPr="00BB11BE" w:rsidRDefault="004A7A74" w:rsidP="004A7A74">
      <w:pPr>
        <w:pStyle w:val="ListParagraph"/>
      </w:pPr>
    </w:p>
    <w:p w14:paraId="2A4DD149" w14:textId="0388DF3C" w:rsidR="004A7A74" w:rsidRPr="00BB11BE" w:rsidRDefault="004A7A74" w:rsidP="006E59AE">
      <w:pPr>
        <w:pStyle w:val="ListParagraph"/>
        <w:numPr>
          <w:ilvl w:val="0"/>
          <w:numId w:val="25"/>
        </w:numPr>
        <w:spacing w:after="200" w:line="276" w:lineRule="auto"/>
      </w:pPr>
      <w:r w:rsidRPr="00BB11BE">
        <w:t xml:space="preserve">recruiting </w:t>
      </w:r>
      <w:r w:rsidR="009116E2" w:rsidRPr="00BB11BE">
        <w:t>fees unless</w:t>
      </w:r>
      <w:r w:rsidRPr="00BB11BE">
        <w:t xml:space="preserve"> approval from the Minister is obtained.</w:t>
      </w:r>
    </w:p>
    <w:p w14:paraId="1CBD7FC3" w14:textId="77777777" w:rsidR="005C6405" w:rsidRDefault="005C6405" w:rsidP="00BC08C0"/>
    <w:sectPr w:rsidR="005C6405" w:rsidSect="000B3266">
      <w:headerReference w:type="default" r:id="rId12"/>
      <w:footerReference w:type="even" r:id="rId13"/>
      <w:footerReference w:type="default" r:id="rId14"/>
      <w:pgSz w:w="12240" w:h="15840"/>
      <w:pgMar w:top="1957" w:right="1440" w:bottom="1440" w:left="1440" w:header="567" w:footer="2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8F893" w14:textId="77777777" w:rsidR="007753C0" w:rsidRDefault="007753C0" w:rsidP="00602B24">
      <w:r>
        <w:separator/>
      </w:r>
    </w:p>
  </w:endnote>
  <w:endnote w:type="continuationSeparator" w:id="0">
    <w:p w14:paraId="4AA4E829" w14:textId="77777777" w:rsidR="007753C0" w:rsidRDefault="007753C0" w:rsidP="0060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7663569"/>
      <w:docPartObj>
        <w:docPartGallery w:val="Page Numbers (Bottom of Page)"/>
        <w:docPartUnique/>
      </w:docPartObj>
    </w:sdtPr>
    <w:sdtEndPr>
      <w:rPr>
        <w:rStyle w:val="PageNumber"/>
      </w:rPr>
    </w:sdtEndPr>
    <w:sdtContent>
      <w:p w14:paraId="065EF38B" w14:textId="77777777" w:rsidR="005E58BB" w:rsidRDefault="005E58BB" w:rsidP="00602B2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B1D6D8" w14:textId="77777777" w:rsidR="005E58BB" w:rsidRDefault="005E58BB" w:rsidP="00602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51E7" w14:textId="77777777" w:rsidR="005E58BB" w:rsidRDefault="005E58BB">
    <w:pPr>
      <w:pStyle w:val="Footer"/>
      <w:jc w:val="right"/>
    </w:pPr>
  </w:p>
  <w:p w14:paraId="6FE0B3C0" w14:textId="3FFD27AB" w:rsidR="005E58BB" w:rsidRPr="0046426F" w:rsidRDefault="00CA3220" w:rsidP="005B6DD4">
    <w:pPr>
      <w:pStyle w:val="Footer"/>
      <w:pBdr>
        <w:top w:val="single" w:sz="4" w:space="1" w:color="auto"/>
      </w:pBdr>
      <w:jc w:val="right"/>
    </w:pPr>
    <w:sdt>
      <w:sdtPr>
        <w:id w:val="65001332"/>
        <w:docPartObj>
          <w:docPartGallery w:val="Page Numbers (Bottom of Page)"/>
          <w:docPartUnique/>
        </w:docPartObj>
      </w:sdtPr>
      <w:sdtEndPr>
        <w:rPr>
          <w:noProof/>
        </w:rPr>
      </w:sdtEndPr>
      <w:sdtContent>
        <w:r w:rsidR="005E58BB">
          <w:rPr>
            <w:rStyle w:val="PageNumber"/>
          </w:rPr>
          <w:t xml:space="preserve">       </w:t>
        </w:r>
        <w:r w:rsidR="005E58BB">
          <w:rPr>
            <w:rStyle w:val="PageNumber"/>
          </w:rPr>
          <w:tab/>
        </w:r>
        <w:r w:rsidR="005E58BB">
          <w:rPr>
            <w:rStyle w:val="PageNumber"/>
          </w:rPr>
          <w:tab/>
        </w:r>
        <w:r w:rsidR="005E58BB">
          <w:fldChar w:fldCharType="begin"/>
        </w:r>
        <w:r w:rsidR="005E58BB">
          <w:instrText xml:space="preserve"> PAGE   \* MERGEFORMAT </w:instrText>
        </w:r>
        <w:r w:rsidR="005E58BB">
          <w:fldChar w:fldCharType="separate"/>
        </w:r>
        <w:r w:rsidR="00D96386">
          <w:rPr>
            <w:noProof/>
          </w:rPr>
          <w:t>8</w:t>
        </w:r>
        <w:r w:rsidR="005E58B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940C" w14:textId="77777777" w:rsidR="007753C0" w:rsidRDefault="007753C0" w:rsidP="00602B24">
      <w:bookmarkStart w:id="0" w:name="_Hlk152849019"/>
      <w:bookmarkEnd w:id="0"/>
      <w:r>
        <w:separator/>
      </w:r>
    </w:p>
  </w:footnote>
  <w:footnote w:type="continuationSeparator" w:id="0">
    <w:p w14:paraId="6F0AD708" w14:textId="77777777" w:rsidR="007753C0" w:rsidRDefault="007753C0" w:rsidP="00602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EA6F" w14:textId="502859E6" w:rsidR="005E58BB" w:rsidRPr="00241CD1" w:rsidRDefault="004C56D5" w:rsidP="00241CD1">
    <w:pPr>
      <w:pStyle w:val="Header"/>
      <w:rPr>
        <w:u w:val="single"/>
      </w:rPr>
    </w:pPr>
    <w:r w:rsidRPr="00241CD1">
      <w:rPr>
        <w:noProof/>
        <w:u w:val="single"/>
        <w:lang w:val="en-CA" w:eastAsia="en-CA"/>
      </w:rPr>
      <w:drawing>
        <wp:inline distT="0" distB="0" distL="0" distR="0" wp14:anchorId="7F1B5B3B" wp14:editId="02D6566E">
          <wp:extent cx="2470150" cy="705275"/>
          <wp:effectExtent l="0" t="0" r="6350" b="0"/>
          <wp:docPr id="1731988599" name="Picture 1731988599" descr="A logo with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28423" name="Picture 1" descr="A logo with blue and green circles&#10;&#10;Description automatically generated"/>
                  <pic:cNvPicPr/>
                </pic:nvPicPr>
                <pic:blipFill rotWithShape="1">
                  <a:blip r:embed="rId1">
                    <a:extLst>
                      <a:ext uri="{28A0092B-C50C-407E-A947-70E740481C1C}">
                        <a14:useLocalDpi xmlns:a14="http://schemas.microsoft.com/office/drawing/2010/main" val="0"/>
                      </a:ext>
                    </a:extLst>
                  </a:blip>
                  <a:srcRect l="8761" t="36084" r="13034" b="35020"/>
                  <a:stretch/>
                </pic:blipFill>
                <pic:spPr bwMode="auto">
                  <a:xfrm>
                    <a:off x="0" y="0"/>
                    <a:ext cx="2483590" cy="709112"/>
                  </a:xfrm>
                  <a:prstGeom prst="rect">
                    <a:avLst/>
                  </a:prstGeom>
                  <a:ln>
                    <a:noFill/>
                  </a:ln>
                  <a:extLst>
                    <a:ext uri="{53640926-AAD7-44D8-BBD7-CCE9431645EC}">
                      <a14:shadowObscured xmlns:a14="http://schemas.microsoft.com/office/drawing/2010/main"/>
                    </a:ext>
                  </a:extLst>
                </pic:spPr>
              </pic:pic>
            </a:graphicData>
          </a:graphic>
        </wp:inline>
      </w:drawing>
    </w:r>
    <w:r w:rsidR="00241CD1" w:rsidRPr="00241CD1">
      <w:rPr>
        <w:u w:val="single"/>
      </w:rPr>
      <w:t xml:space="preserve">                              </w:t>
    </w:r>
    <w:r w:rsidR="00241CD1" w:rsidRPr="00241CD1">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09B"/>
    <w:multiLevelType w:val="hybridMultilevel"/>
    <w:tmpl w:val="2604DFEA"/>
    <w:lvl w:ilvl="0" w:tplc="86B409C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4E4083"/>
    <w:multiLevelType w:val="hybridMultilevel"/>
    <w:tmpl w:val="56F448AC"/>
    <w:lvl w:ilvl="0" w:tplc="E44AA39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9324D9C"/>
    <w:multiLevelType w:val="hybridMultilevel"/>
    <w:tmpl w:val="DC58D796"/>
    <w:lvl w:ilvl="0" w:tplc="1009001B">
      <w:start w:val="1"/>
      <w:numFmt w:val="lowerRoman"/>
      <w:lvlText w:val="%1."/>
      <w:lvlJc w:val="right"/>
      <w:pPr>
        <w:ind w:left="720" w:hanging="360"/>
      </w:pPr>
    </w:lvl>
    <w:lvl w:ilvl="1" w:tplc="1009001B">
      <w:start w:val="1"/>
      <w:numFmt w:val="lowerRoman"/>
      <w:lvlText w:val="%2."/>
      <w:lvlJc w:val="right"/>
      <w:pPr>
        <w:ind w:left="720" w:hanging="360"/>
      </w:pPr>
    </w:lvl>
    <w:lvl w:ilvl="2" w:tplc="1009001B">
      <w:start w:val="1"/>
      <w:numFmt w:val="lowerRoman"/>
      <w:lvlText w:val="%3."/>
      <w:lvlJc w:val="right"/>
      <w:pPr>
        <w:ind w:left="2340" w:hanging="36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B7166E5"/>
    <w:multiLevelType w:val="hybridMultilevel"/>
    <w:tmpl w:val="4866CC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1D17E2"/>
    <w:multiLevelType w:val="hybridMultilevel"/>
    <w:tmpl w:val="CF9AFBFC"/>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F2E5D19"/>
    <w:multiLevelType w:val="hybridMultilevel"/>
    <w:tmpl w:val="96F83F00"/>
    <w:lvl w:ilvl="0" w:tplc="228847AA">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18D5027"/>
    <w:multiLevelType w:val="hybridMultilevel"/>
    <w:tmpl w:val="652A96E8"/>
    <w:lvl w:ilvl="0" w:tplc="8FAE6DD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FD7DF8"/>
    <w:multiLevelType w:val="hybridMultilevel"/>
    <w:tmpl w:val="6C7A209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98C09B76">
      <w:start w:val="1"/>
      <w:numFmt w:val="upperLetter"/>
      <w:lvlText w:val="%3."/>
      <w:lvlJc w:val="left"/>
      <w:pPr>
        <w:ind w:left="1980" w:hanging="36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50868F6"/>
    <w:multiLevelType w:val="hybridMultilevel"/>
    <w:tmpl w:val="B4802F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C9C11B4"/>
    <w:multiLevelType w:val="hybridMultilevel"/>
    <w:tmpl w:val="38847254"/>
    <w:lvl w:ilvl="0" w:tplc="10090013">
      <w:start w:val="1"/>
      <w:numFmt w:val="upperRoman"/>
      <w:lvlText w:val="%1."/>
      <w:lvlJc w:val="right"/>
      <w:pPr>
        <w:ind w:left="720" w:hanging="360"/>
      </w:pPr>
    </w:lvl>
    <w:lvl w:ilvl="1" w:tplc="228847AA">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18B4DD4"/>
    <w:multiLevelType w:val="hybridMultilevel"/>
    <w:tmpl w:val="F1F609DA"/>
    <w:lvl w:ilvl="0" w:tplc="3A1C8EF0">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41B1B62"/>
    <w:multiLevelType w:val="hybridMultilevel"/>
    <w:tmpl w:val="F60CD1C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51C3DEA"/>
    <w:multiLevelType w:val="hybridMultilevel"/>
    <w:tmpl w:val="4E5C8FEE"/>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51D5385"/>
    <w:multiLevelType w:val="hybridMultilevel"/>
    <w:tmpl w:val="8146DC2C"/>
    <w:lvl w:ilvl="0" w:tplc="10090013">
      <w:start w:val="1"/>
      <w:numFmt w:val="upperRoman"/>
      <w:lvlText w:val="%1."/>
      <w:lvlJc w:val="right"/>
      <w:pPr>
        <w:ind w:left="720" w:hanging="360"/>
      </w:pPr>
      <w:rPr>
        <w:rFonts w:hint="default"/>
      </w:rPr>
    </w:lvl>
    <w:lvl w:ilvl="1" w:tplc="4036B12E">
      <w:start w:val="1"/>
      <w:numFmt w:val="upperRoman"/>
      <w:pStyle w:val="Heading3"/>
      <w:lvlText w:val="%2."/>
      <w:lvlJc w:val="righ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07B69"/>
    <w:multiLevelType w:val="hybridMultilevel"/>
    <w:tmpl w:val="866EBC36"/>
    <w:lvl w:ilvl="0" w:tplc="538217F0">
      <w:start w:val="2"/>
      <w:numFmt w:val="upperRoman"/>
      <w:lvlText w:val="%1."/>
      <w:lvlJc w:val="right"/>
      <w:pPr>
        <w:ind w:left="54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C850A01"/>
    <w:multiLevelType w:val="hybridMultilevel"/>
    <w:tmpl w:val="F4B8D9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5B54406"/>
    <w:multiLevelType w:val="hybridMultilevel"/>
    <w:tmpl w:val="233C41F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C765FDA"/>
    <w:multiLevelType w:val="hybridMultilevel"/>
    <w:tmpl w:val="FC2A6792"/>
    <w:lvl w:ilvl="0" w:tplc="228847AA">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5C97562C"/>
    <w:multiLevelType w:val="hybridMultilevel"/>
    <w:tmpl w:val="43F47248"/>
    <w:lvl w:ilvl="0" w:tplc="421A5D0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CD75E56"/>
    <w:multiLevelType w:val="hybridMultilevel"/>
    <w:tmpl w:val="9F5E5D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F3B1F08"/>
    <w:multiLevelType w:val="hybridMultilevel"/>
    <w:tmpl w:val="0CD6BE5E"/>
    <w:lvl w:ilvl="0" w:tplc="D4262D3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21212E4"/>
    <w:multiLevelType w:val="hybridMultilevel"/>
    <w:tmpl w:val="3FA29992"/>
    <w:lvl w:ilvl="0" w:tplc="FFFFFFFF">
      <w:start w:val="1"/>
      <w:numFmt w:val="lowerLetter"/>
      <w:lvlText w:val="%1)"/>
      <w:lvlJc w:val="left"/>
      <w:pPr>
        <w:ind w:left="720" w:hanging="360"/>
      </w:pPr>
    </w:lvl>
    <w:lvl w:ilvl="1" w:tplc="10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9E3B28"/>
    <w:multiLevelType w:val="hybridMultilevel"/>
    <w:tmpl w:val="46EE7352"/>
    <w:lvl w:ilvl="0" w:tplc="228847A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6DD02471"/>
    <w:multiLevelType w:val="hybridMultilevel"/>
    <w:tmpl w:val="9CB43DA6"/>
    <w:lvl w:ilvl="0" w:tplc="228847AA">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6F4C00F9"/>
    <w:multiLevelType w:val="hybridMultilevel"/>
    <w:tmpl w:val="012C3752"/>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4E54802"/>
    <w:multiLevelType w:val="hybridMultilevel"/>
    <w:tmpl w:val="4EC65CD4"/>
    <w:lvl w:ilvl="0" w:tplc="B52CD34C">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9481005"/>
    <w:multiLevelType w:val="hybridMultilevel"/>
    <w:tmpl w:val="91B8A240"/>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E2F2F6C"/>
    <w:multiLevelType w:val="hybridMultilevel"/>
    <w:tmpl w:val="13CE41A0"/>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908273676">
    <w:abstractNumId w:val="13"/>
  </w:num>
  <w:num w:numId="2" w16cid:durableId="1502157198">
    <w:abstractNumId w:val="13"/>
  </w:num>
  <w:num w:numId="3" w16cid:durableId="1469393782">
    <w:abstractNumId w:val="3"/>
  </w:num>
  <w:num w:numId="4" w16cid:durableId="1096711715">
    <w:abstractNumId w:val="6"/>
  </w:num>
  <w:num w:numId="5" w16cid:durableId="663975559">
    <w:abstractNumId w:val="24"/>
  </w:num>
  <w:num w:numId="6" w16cid:durableId="988821974">
    <w:abstractNumId w:val="26"/>
  </w:num>
  <w:num w:numId="7" w16cid:durableId="1420062838">
    <w:abstractNumId w:val="9"/>
  </w:num>
  <w:num w:numId="8" w16cid:durableId="1240015594">
    <w:abstractNumId w:val="5"/>
  </w:num>
  <w:num w:numId="9" w16cid:durableId="1294478711">
    <w:abstractNumId w:val="23"/>
  </w:num>
  <w:num w:numId="10" w16cid:durableId="770472406">
    <w:abstractNumId w:val="17"/>
  </w:num>
  <w:num w:numId="11" w16cid:durableId="1669333858">
    <w:abstractNumId w:val="22"/>
  </w:num>
  <w:num w:numId="12" w16cid:durableId="257913537">
    <w:abstractNumId w:val="10"/>
  </w:num>
  <w:num w:numId="13" w16cid:durableId="635843661">
    <w:abstractNumId w:val="8"/>
  </w:num>
  <w:num w:numId="14" w16cid:durableId="1668744867">
    <w:abstractNumId w:val="19"/>
  </w:num>
  <w:num w:numId="15" w16cid:durableId="1671374513">
    <w:abstractNumId w:val="21"/>
  </w:num>
  <w:num w:numId="16" w16cid:durableId="1986544306">
    <w:abstractNumId w:val="16"/>
  </w:num>
  <w:num w:numId="17" w16cid:durableId="2124112112">
    <w:abstractNumId w:val="7"/>
  </w:num>
  <w:num w:numId="18" w16cid:durableId="115375852">
    <w:abstractNumId w:val="1"/>
  </w:num>
  <w:num w:numId="19" w16cid:durableId="1942179290">
    <w:abstractNumId w:val="20"/>
  </w:num>
  <w:num w:numId="20" w16cid:durableId="176234178">
    <w:abstractNumId w:val="18"/>
  </w:num>
  <w:num w:numId="21" w16cid:durableId="1589576941">
    <w:abstractNumId w:val="2"/>
  </w:num>
  <w:num w:numId="22" w16cid:durableId="556477517">
    <w:abstractNumId w:val="11"/>
  </w:num>
  <w:num w:numId="23" w16cid:durableId="313678630">
    <w:abstractNumId w:val="27"/>
  </w:num>
  <w:num w:numId="24" w16cid:durableId="1768769616">
    <w:abstractNumId w:val="25"/>
  </w:num>
  <w:num w:numId="25" w16cid:durableId="2005618824">
    <w:abstractNumId w:val="15"/>
  </w:num>
  <w:num w:numId="26" w16cid:durableId="274093455">
    <w:abstractNumId w:val="0"/>
  </w:num>
  <w:num w:numId="27" w16cid:durableId="1258059988">
    <w:abstractNumId w:val="14"/>
  </w:num>
  <w:num w:numId="28" w16cid:durableId="1230074785">
    <w:abstractNumId w:val="12"/>
  </w:num>
  <w:num w:numId="29" w16cid:durableId="1891762232">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B23"/>
    <w:rsid w:val="00000B72"/>
    <w:rsid w:val="00001CC0"/>
    <w:rsid w:val="00010FF3"/>
    <w:rsid w:val="00022454"/>
    <w:rsid w:val="00023CDD"/>
    <w:rsid w:val="00031266"/>
    <w:rsid w:val="00045070"/>
    <w:rsid w:val="000532DA"/>
    <w:rsid w:val="00053744"/>
    <w:rsid w:val="000620D7"/>
    <w:rsid w:val="0006259D"/>
    <w:rsid w:val="0006733E"/>
    <w:rsid w:val="000830AB"/>
    <w:rsid w:val="00083B9F"/>
    <w:rsid w:val="0009441F"/>
    <w:rsid w:val="000B2494"/>
    <w:rsid w:val="000B3266"/>
    <w:rsid w:val="000B5E26"/>
    <w:rsid w:val="000B5E4C"/>
    <w:rsid w:val="000C72DA"/>
    <w:rsid w:val="000C764A"/>
    <w:rsid w:val="000E00B5"/>
    <w:rsid w:val="000E4A0D"/>
    <w:rsid w:val="000F4891"/>
    <w:rsid w:val="000F5D49"/>
    <w:rsid w:val="00100A93"/>
    <w:rsid w:val="001023B5"/>
    <w:rsid w:val="00105A5B"/>
    <w:rsid w:val="00111393"/>
    <w:rsid w:val="00111980"/>
    <w:rsid w:val="00111B0A"/>
    <w:rsid w:val="0011415F"/>
    <w:rsid w:val="00115B23"/>
    <w:rsid w:val="00121E5C"/>
    <w:rsid w:val="00123BA5"/>
    <w:rsid w:val="00130F1F"/>
    <w:rsid w:val="0013524D"/>
    <w:rsid w:val="00150C7E"/>
    <w:rsid w:val="00163138"/>
    <w:rsid w:val="00165B34"/>
    <w:rsid w:val="00166527"/>
    <w:rsid w:val="00172332"/>
    <w:rsid w:val="00176CF5"/>
    <w:rsid w:val="001B0E06"/>
    <w:rsid w:val="001B5896"/>
    <w:rsid w:val="001E3C63"/>
    <w:rsid w:val="002014F3"/>
    <w:rsid w:val="002024A4"/>
    <w:rsid w:val="00213116"/>
    <w:rsid w:val="00220BDF"/>
    <w:rsid w:val="00220E8A"/>
    <w:rsid w:val="00221C26"/>
    <w:rsid w:val="00222DE6"/>
    <w:rsid w:val="002321B0"/>
    <w:rsid w:val="00232A53"/>
    <w:rsid w:val="00233D47"/>
    <w:rsid w:val="002363D9"/>
    <w:rsid w:val="002414AD"/>
    <w:rsid w:val="00241CD1"/>
    <w:rsid w:val="00251C09"/>
    <w:rsid w:val="00260062"/>
    <w:rsid w:val="002649F1"/>
    <w:rsid w:val="0027243E"/>
    <w:rsid w:val="00273BD6"/>
    <w:rsid w:val="00274625"/>
    <w:rsid w:val="00280392"/>
    <w:rsid w:val="00280F5C"/>
    <w:rsid w:val="002868A0"/>
    <w:rsid w:val="002A48DA"/>
    <w:rsid w:val="002C2129"/>
    <w:rsid w:val="002C2CD6"/>
    <w:rsid w:val="002D475A"/>
    <w:rsid w:val="002D5004"/>
    <w:rsid w:val="002D7658"/>
    <w:rsid w:val="002E4187"/>
    <w:rsid w:val="002F0A32"/>
    <w:rsid w:val="003041ED"/>
    <w:rsid w:val="00304F0C"/>
    <w:rsid w:val="00305B4C"/>
    <w:rsid w:val="00306564"/>
    <w:rsid w:val="00315BD8"/>
    <w:rsid w:val="00320A5E"/>
    <w:rsid w:val="00323CD5"/>
    <w:rsid w:val="00333AD4"/>
    <w:rsid w:val="0033455B"/>
    <w:rsid w:val="003409DB"/>
    <w:rsid w:val="0034487C"/>
    <w:rsid w:val="003547A8"/>
    <w:rsid w:val="00361ADC"/>
    <w:rsid w:val="0037021D"/>
    <w:rsid w:val="0037143F"/>
    <w:rsid w:val="00382561"/>
    <w:rsid w:val="00383C3B"/>
    <w:rsid w:val="00386F74"/>
    <w:rsid w:val="003A203C"/>
    <w:rsid w:val="003A3CEB"/>
    <w:rsid w:val="003A521D"/>
    <w:rsid w:val="003A75E4"/>
    <w:rsid w:val="003C2E6A"/>
    <w:rsid w:val="003D61DD"/>
    <w:rsid w:val="003E1543"/>
    <w:rsid w:val="003F1E8F"/>
    <w:rsid w:val="00401161"/>
    <w:rsid w:val="00407E90"/>
    <w:rsid w:val="0041331A"/>
    <w:rsid w:val="00422341"/>
    <w:rsid w:val="0043532C"/>
    <w:rsid w:val="00436DF9"/>
    <w:rsid w:val="00457A85"/>
    <w:rsid w:val="0046055E"/>
    <w:rsid w:val="0046426F"/>
    <w:rsid w:val="0047694E"/>
    <w:rsid w:val="004806A8"/>
    <w:rsid w:val="00480CC6"/>
    <w:rsid w:val="00480FEC"/>
    <w:rsid w:val="004917CC"/>
    <w:rsid w:val="004931CC"/>
    <w:rsid w:val="00495ADD"/>
    <w:rsid w:val="004A5E26"/>
    <w:rsid w:val="004A7A74"/>
    <w:rsid w:val="004C56D5"/>
    <w:rsid w:val="004D019F"/>
    <w:rsid w:val="004D0FF8"/>
    <w:rsid w:val="004E24F5"/>
    <w:rsid w:val="004E2DEF"/>
    <w:rsid w:val="004F5EB8"/>
    <w:rsid w:val="004F761E"/>
    <w:rsid w:val="00500074"/>
    <w:rsid w:val="005038B7"/>
    <w:rsid w:val="00505E17"/>
    <w:rsid w:val="0051400C"/>
    <w:rsid w:val="00523550"/>
    <w:rsid w:val="00533062"/>
    <w:rsid w:val="00533E63"/>
    <w:rsid w:val="00535AB4"/>
    <w:rsid w:val="005419F8"/>
    <w:rsid w:val="005511E6"/>
    <w:rsid w:val="00570B02"/>
    <w:rsid w:val="005713D6"/>
    <w:rsid w:val="005724AD"/>
    <w:rsid w:val="005751A9"/>
    <w:rsid w:val="00576134"/>
    <w:rsid w:val="00580789"/>
    <w:rsid w:val="00590F83"/>
    <w:rsid w:val="00591E73"/>
    <w:rsid w:val="0059512C"/>
    <w:rsid w:val="00596F47"/>
    <w:rsid w:val="005A1336"/>
    <w:rsid w:val="005A24BF"/>
    <w:rsid w:val="005B6DD4"/>
    <w:rsid w:val="005B7DAE"/>
    <w:rsid w:val="005C1B48"/>
    <w:rsid w:val="005C4E79"/>
    <w:rsid w:val="005C6405"/>
    <w:rsid w:val="005E1838"/>
    <w:rsid w:val="005E2993"/>
    <w:rsid w:val="005E48E7"/>
    <w:rsid w:val="005E5743"/>
    <w:rsid w:val="005E58BB"/>
    <w:rsid w:val="005F56EF"/>
    <w:rsid w:val="00602B24"/>
    <w:rsid w:val="00603975"/>
    <w:rsid w:val="00610B99"/>
    <w:rsid w:val="00622551"/>
    <w:rsid w:val="00623338"/>
    <w:rsid w:val="00633562"/>
    <w:rsid w:val="00642880"/>
    <w:rsid w:val="00647A60"/>
    <w:rsid w:val="006541DA"/>
    <w:rsid w:val="006576C2"/>
    <w:rsid w:val="0067097E"/>
    <w:rsid w:val="00676B9C"/>
    <w:rsid w:val="00693156"/>
    <w:rsid w:val="006A1D34"/>
    <w:rsid w:val="006B20D6"/>
    <w:rsid w:val="006B21D2"/>
    <w:rsid w:val="006B6677"/>
    <w:rsid w:val="006C4DD3"/>
    <w:rsid w:val="006C63A2"/>
    <w:rsid w:val="006D583D"/>
    <w:rsid w:val="006D726F"/>
    <w:rsid w:val="006E0770"/>
    <w:rsid w:val="006E59AE"/>
    <w:rsid w:val="006E6DD1"/>
    <w:rsid w:val="0070155C"/>
    <w:rsid w:val="00711251"/>
    <w:rsid w:val="0071486E"/>
    <w:rsid w:val="00714D84"/>
    <w:rsid w:val="00715E74"/>
    <w:rsid w:val="00716CDC"/>
    <w:rsid w:val="00717E4F"/>
    <w:rsid w:val="007234F1"/>
    <w:rsid w:val="00726A10"/>
    <w:rsid w:val="0073734B"/>
    <w:rsid w:val="00750989"/>
    <w:rsid w:val="007540D3"/>
    <w:rsid w:val="00762C4B"/>
    <w:rsid w:val="007753C0"/>
    <w:rsid w:val="00776916"/>
    <w:rsid w:val="007777CC"/>
    <w:rsid w:val="0078137D"/>
    <w:rsid w:val="007842A6"/>
    <w:rsid w:val="00785644"/>
    <w:rsid w:val="00786D16"/>
    <w:rsid w:val="007879B6"/>
    <w:rsid w:val="00790048"/>
    <w:rsid w:val="007938CB"/>
    <w:rsid w:val="00795ADA"/>
    <w:rsid w:val="00796C65"/>
    <w:rsid w:val="00796DB4"/>
    <w:rsid w:val="007A2FE9"/>
    <w:rsid w:val="007A6FF1"/>
    <w:rsid w:val="007B205B"/>
    <w:rsid w:val="007B5EA8"/>
    <w:rsid w:val="007B6471"/>
    <w:rsid w:val="007C2DA2"/>
    <w:rsid w:val="007C401D"/>
    <w:rsid w:val="007C42EC"/>
    <w:rsid w:val="007C5426"/>
    <w:rsid w:val="007D32BC"/>
    <w:rsid w:val="007D679F"/>
    <w:rsid w:val="007D744B"/>
    <w:rsid w:val="007F0306"/>
    <w:rsid w:val="00802FFC"/>
    <w:rsid w:val="008044BB"/>
    <w:rsid w:val="00804EC8"/>
    <w:rsid w:val="00810CE6"/>
    <w:rsid w:val="0082024A"/>
    <w:rsid w:val="00823140"/>
    <w:rsid w:val="008249B4"/>
    <w:rsid w:val="00841F75"/>
    <w:rsid w:val="00844450"/>
    <w:rsid w:val="00845C0F"/>
    <w:rsid w:val="00861FC7"/>
    <w:rsid w:val="008737EF"/>
    <w:rsid w:val="00874757"/>
    <w:rsid w:val="00874F4F"/>
    <w:rsid w:val="008846BE"/>
    <w:rsid w:val="00884968"/>
    <w:rsid w:val="0088600A"/>
    <w:rsid w:val="0089128C"/>
    <w:rsid w:val="00892CD5"/>
    <w:rsid w:val="00894ED3"/>
    <w:rsid w:val="008A67C4"/>
    <w:rsid w:val="008B03D0"/>
    <w:rsid w:val="008B1D09"/>
    <w:rsid w:val="008B46D0"/>
    <w:rsid w:val="008C15B7"/>
    <w:rsid w:val="008C1F6E"/>
    <w:rsid w:val="008D6209"/>
    <w:rsid w:val="008F033C"/>
    <w:rsid w:val="008F50A5"/>
    <w:rsid w:val="009116E2"/>
    <w:rsid w:val="009254F1"/>
    <w:rsid w:val="00932405"/>
    <w:rsid w:val="009401EB"/>
    <w:rsid w:val="00942285"/>
    <w:rsid w:val="00944915"/>
    <w:rsid w:val="009602C2"/>
    <w:rsid w:val="00960E4F"/>
    <w:rsid w:val="00977279"/>
    <w:rsid w:val="00977823"/>
    <w:rsid w:val="0098245C"/>
    <w:rsid w:val="00991590"/>
    <w:rsid w:val="00994E36"/>
    <w:rsid w:val="00997A2D"/>
    <w:rsid w:val="009A2468"/>
    <w:rsid w:val="009A6684"/>
    <w:rsid w:val="009A7E9D"/>
    <w:rsid w:val="009B39D1"/>
    <w:rsid w:val="009C2373"/>
    <w:rsid w:val="009C370C"/>
    <w:rsid w:val="009C4B27"/>
    <w:rsid w:val="009D01B0"/>
    <w:rsid w:val="009D0E3C"/>
    <w:rsid w:val="009E1DE8"/>
    <w:rsid w:val="009F4A4C"/>
    <w:rsid w:val="009F4D33"/>
    <w:rsid w:val="00A07217"/>
    <w:rsid w:val="00A137CB"/>
    <w:rsid w:val="00A174B6"/>
    <w:rsid w:val="00A244BD"/>
    <w:rsid w:val="00A311FD"/>
    <w:rsid w:val="00A3360C"/>
    <w:rsid w:val="00A403B9"/>
    <w:rsid w:val="00A630DA"/>
    <w:rsid w:val="00A64456"/>
    <w:rsid w:val="00A67608"/>
    <w:rsid w:val="00A74169"/>
    <w:rsid w:val="00A809F8"/>
    <w:rsid w:val="00A868F5"/>
    <w:rsid w:val="00A8712F"/>
    <w:rsid w:val="00A909EF"/>
    <w:rsid w:val="00A9113E"/>
    <w:rsid w:val="00AA04C4"/>
    <w:rsid w:val="00AA09CB"/>
    <w:rsid w:val="00AA3313"/>
    <w:rsid w:val="00AD6A58"/>
    <w:rsid w:val="00AE4395"/>
    <w:rsid w:val="00AE4798"/>
    <w:rsid w:val="00AE49E2"/>
    <w:rsid w:val="00AF4018"/>
    <w:rsid w:val="00B0769D"/>
    <w:rsid w:val="00B148A3"/>
    <w:rsid w:val="00B1759A"/>
    <w:rsid w:val="00B232F2"/>
    <w:rsid w:val="00B233B6"/>
    <w:rsid w:val="00B416A5"/>
    <w:rsid w:val="00B65CAB"/>
    <w:rsid w:val="00B77055"/>
    <w:rsid w:val="00B83923"/>
    <w:rsid w:val="00B96E52"/>
    <w:rsid w:val="00B97DD4"/>
    <w:rsid w:val="00BB0DA3"/>
    <w:rsid w:val="00BB59F8"/>
    <w:rsid w:val="00BB7EF5"/>
    <w:rsid w:val="00BC08C0"/>
    <w:rsid w:val="00BC181F"/>
    <w:rsid w:val="00BC54E5"/>
    <w:rsid w:val="00BC7364"/>
    <w:rsid w:val="00BD7030"/>
    <w:rsid w:val="00BD76F0"/>
    <w:rsid w:val="00BE7D34"/>
    <w:rsid w:val="00BE7EDD"/>
    <w:rsid w:val="00C03F10"/>
    <w:rsid w:val="00C04211"/>
    <w:rsid w:val="00C04224"/>
    <w:rsid w:val="00C07308"/>
    <w:rsid w:val="00C10754"/>
    <w:rsid w:val="00C332CB"/>
    <w:rsid w:val="00C35C42"/>
    <w:rsid w:val="00C36A35"/>
    <w:rsid w:val="00C37B08"/>
    <w:rsid w:val="00C472EF"/>
    <w:rsid w:val="00C50D98"/>
    <w:rsid w:val="00C56E32"/>
    <w:rsid w:val="00C62ADF"/>
    <w:rsid w:val="00C85DDC"/>
    <w:rsid w:val="00C86B2F"/>
    <w:rsid w:val="00C93FEB"/>
    <w:rsid w:val="00CA3220"/>
    <w:rsid w:val="00CA53E5"/>
    <w:rsid w:val="00CB042E"/>
    <w:rsid w:val="00CB14E4"/>
    <w:rsid w:val="00CB4C02"/>
    <w:rsid w:val="00CC3ABF"/>
    <w:rsid w:val="00CD3FA5"/>
    <w:rsid w:val="00CE2202"/>
    <w:rsid w:val="00CE2C61"/>
    <w:rsid w:val="00CE5A04"/>
    <w:rsid w:val="00CE7AB9"/>
    <w:rsid w:val="00CE7DE2"/>
    <w:rsid w:val="00CF379D"/>
    <w:rsid w:val="00CF589B"/>
    <w:rsid w:val="00D06320"/>
    <w:rsid w:val="00D07B45"/>
    <w:rsid w:val="00D22C22"/>
    <w:rsid w:val="00D24221"/>
    <w:rsid w:val="00D30956"/>
    <w:rsid w:val="00D3651F"/>
    <w:rsid w:val="00D372FD"/>
    <w:rsid w:val="00D377C0"/>
    <w:rsid w:val="00D405B8"/>
    <w:rsid w:val="00D44F93"/>
    <w:rsid w:val="00D47201"/>
    <w:rsid w:val="00D507CB"/>
    <w:rsid w:val="00D50D07"/>
    <w:rsid w:val="00D5488D"/>
    <w:rsid w:val="00D551B5"/>
    <w:rsid w:val="00D56941"/>
    <w:rsid w:val="00D67CA9"/>
    <w:rsid w:val="00D81C96"/>
    <w:rsid w:val="00D821B3"/>
    <w:rsid w:val="00D90866"/>
    <w:rsid w:val="00D95905"/>
    <w:rsid w:val="00D96386"/>
    <w:rsid w:val="00DB18D4"/>
    <w:rsid w:val="00DB268F"/>
    <w:rsid w:val="00DB3CC4"/>
    <w:rsid w:val="00DD29AB"/>
    <w:rsid w:val="00DD6218"/>
    <w:rsid w:val="00DD7874"/>
    <w:rsid w:val="00DD7E0E"/>
    <w:rsid w:val="00DE2B7B"/>
    <w:rsid w:val="00DE6E3C"/>
    <w:rsid w:val="00DF2CBF"/>
    <w:rsid w:val="00DF3EC0"/>
    <w:rsid w:val="00DF66E7"/>
    <w:rsid w:val="00E034B9"/>
    <w:rsid w:val="00E13C2E"/>
    <w:rsid w:val="00E2692D"/>
    <w:rsid w:val="00E27238"/>
    <w:rsid w:val="00E413BF"/>
    <w:rsid w:val="00E50AC0"/>
    <w:rsid w:val="00E50EDD"/>
    <w:rsid w:val="00E528F0"/>
    <w:rsid w:val="00E52B08"/>
    <w:rsid w:val="00E531CC"/>
    <w:rsid w:val="00E60DEC"/>
    <w:rsid w:val="00E86CC5"/>
    <w:rsid w:val="00E93C00"/>
    <w:rsid w:val="00E95C1A"/>
    <w:rsid w:val="00E97342"/>
    <w:rsid w:val="00EA6A3E"/>
    <w:rsid w:val="00EB70B0"/>
    <w:rsid w:val="00EC26A5"/>
    <w:rsid w:val="00ED350E"/>
    <w:rsid w:val="00ED76C7"/>
    <w:rsid w:val="00EE086B"/>
    <w:rsid w:val="00F00340"/>
    <w:rsid w:val="00F00551"/>
    <w:rsid w:val="00F102AB"/>
    <w:rsid w:val="00F13E16"/>
    <w:rsid w:val="00F175C6"/>
    <w:rsid w:val="00F25EB2"/>
    <w:rsid w:val="00F34F2E"/>
    <w:rsid w:val="00F3685C"/>
    <w:rsid w:val="00F37C67"/>
    <w:rsid w:val="00F5217B"/>
    <w:rsid w:val="00F542CF"/>
    <w:rsid w:val="00F55CC9"/>
    <w:rsid w:val="00F564D6"/>
    <w:rsid w:val="00F56CAB"/>
    <w:rsid w:val="00F576FF"/>
    <w:rsid w:val="00F618CB"/>
    <w:rsid w:val="00F67757"/>
    <w:rsid w:val="00F73184"/>
    <w:rsid w:val="00F7351F"/>
    <w:rsid w:val="00F76AC3"/>
    <w:rsid w:val="00F94530"/>
    <w:rsid w:val="00F94AA0"/>
    <w:rsid w:val="00FD49C9"/>
    <w:rsid w:val="00FD4CAB"/>
    <w:rsid w:val="00FD5653"/>
    <w:rsid w:val="00FD6479"/>
    <w:rsid w:val="00FE73FD"/>
    <w:rsid w:val="00FF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C3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24"/>
    <w:pPr>
      <w:spacing w:after="240"/>
      <w:jc w:val="both"/>
    </w:pPr>
    <w:rPr>
      <w:rFonts w:ascii="Arial" w:hAnsi="Arial" w:cs="Arial"/>
      <w:sz w:val="22"/>
      <w:szCs w:val="22"/>
    </w:rPr>
  </w:style>
  <w:style w:type="paragraph" w:styleId="Heading1">
    <w:name w:val="heading 1"/>
    <w:basedOn w:val="Normal"/>
    <w:next w:val="Normal"/>
    <w:link w:val="Heading1Char"/>
    <w:uiPriority w:val="9"/>
    <w:qFormat/>
    <w:rsid w:val="0046426F"/>
    <w:pPr>
      <w:keepNext/>
      <w:keepLines/>
      <w:spacing w:before="240"/>
      <w:outlineLvl w:val="0"/>
    </w:pPr>
    <w:rPr>
      <w:rFonts w:eastAsiaTheme="majorEastAsia"/>
      <w:b/>
      <w:color w:val="0B5171"/>
      <w:sz w:val="28"/>
      <w:szCs w:val="32"/>
    </w:rPr>
  </w:style>
  <w:style w:type="paragraph" w:styleId="Heading2">
    <w:name w:val="heading 2"/>
    <w:basedOn w:val="ListParagraph"/>
    <w:next w:val="Normal"/>
    <w:link w:val="Heading2Char"/>
    <w:uiPriority w:val="9"/>
    <w:unhideWhenUsed/>
    <w:qFormat/>
    <w:rsid w:val="00602B24"/>
    <w:pPr>
      <w:spacing w:after="240" w:line="240" w:lineRule="auto"/>
      <w:ind w:left="0"/>
      <w:contextualSpacing w:val="0"/>
      <w:outlineLvl w:val="1"/>
    </w:pPr>
    <w:rPr>
      <w:b/>
      <w:bCs/>
      <w:color w:val="0B5171"/>
    </w:rPr>
  </w:style>
  <w:style w:type="paragraph" w:styleId="Heading3">
    <w:name w:val="heading 3"/>
    <w:basedOn w:val="Heading2"/>
    <w:next w:val="Normal"/>
    <w:link w:val="Heading3Char"/>
    <w:uiPriority w:val="9"/>
    <w:unhideWhenUsed/>
    <w:qFormat/>
    <w:rsid w:val="00623338"/>
    <w:pPr>
      <w:numPr>
        <w:ilvl w:val="1"/>
        <w:numId w:val="1"/>
      </w:numPr>
      <w:outlineLvl w:val="2"/>
    </w:pPr>
  </w:style>
  <w:style w:type="paragraph" w:styleId="Heading4">
    <w:name w:val="heading 4"/>
    <w:basedOn w:val="Heading3"/>
    <w:next w:val="Normal"/>
    <w:link w:val="Heading4Char"/>
    <w:uiPriority w:val="9"/>
    <w:unhideWhenUsed/>
    <w:qFormat/>
    <w:rsid w:val="0006733E"/>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table bullets Char,List Paragraph1 Char,List Bullets Char,Indented Paragraph Char,Lettre d'introduction Char,Bullet List 1 Char,IDM List Paragraph Char,Bullet Char,Notes list Char,BN 1 Char,Numbered List Paragraph Char,L Char"/>
    <w:link w:val="ListParagraph"/>
    <w:uiPriority w:val="1"/>
    <w:qFormat/>
    <w:locked/>
    <w:rsid w:val="00115B23"/>
  </w:style>
  <w:style w:type="paragraph" w:styleId="ListParagraph">
    <w:name w:val="List Paragraph"/>
    <w:aliases w:val="table bullets,List Paragraph1,List Bullets,Indented Paragraph,Lettre d'introduction,Bullet List 1,IDM List Paragraph,Bullet,Notes list,BN 1,Numbered List Paragraph,Recommendation,List Paragraph11,L,List Paragraph2,CV text,Table text"/>
    <w:basedOn w:val="Normal"/>
    <w:link w:val="ListParagraphChar"/>
    <w:uiPriority w:val="1"/>
    <w:qFormat/>
    <w:rsid w:val="00115B23"/>
    <w:pPr>
      <w:spacing w:after="160" w:line="256" w:lineRule="auto"/>
      <w:ind w:left="720"/>
      <w:contextualSpacing/>
    </w:pPr>
  </w:style>
  <w:style w:type="paragraph" w:customStyle="1" w:styleId="paragraph">
    <w:name w:val="paragraph"/>
    <w:basedOn w:val="Normal"/>
    <w:rsid w:val="00E93C00"/>
    <w:pPr>
      <w:spacing w:before="100" w:beforeAutospacing="1" w:after="100" w:afterAutospacing="1"/>
    </w:pPr>
    <w:rPr>
      <w:rFonts w:ascii="Times New Roman" w:eastAsia="Times New Roman" w:hAnsi="Times New Roman" w:cs="Times New Roman"/>
      <w:lang w:val="en-CA"/>
    </w:rPr>
  </w:style>
  <w:style w:type="character" w:customStyle="1" w:styleId="normaltextrun">
    <w:name w:val="normaltextrun"/>
    <w:basedOn w:val="DefaultParagraphFont"/>
    <w:rsid w:val="00E93C00"/>
  </w:style>
  <w:style w:type="character" w:customStyle="1" w:styleId="eop">
    <w:name w:val="eop"/>
    <w:basedOn w:val="DefaultParagraphFont"/>
    <w:rsid w:val="00E93C00"/>
  </w:style>
  <w:style w:type="paragraph" w:styleId="Header">
    <w:name w:val="header"/>
    <w:basedOn w:val="Normal"/>
    <w:link w:val="HeaderChar"/>
    <w:uiPriority w:val="99"/>
    <w:unhideWhenUsed/>
    <w:rsid w:val="00810CE6"/>
    <w:pPr>
      <w:tabs>
        <w:tab w:val="center" w:pos="4680"/>
        <w:tab w:val="right" w:pos="9360"/>
      </w:tabs>
    </w:pPr>
  </w:style>
  <w:style w:type="character" w:customStyle="1" w:styleId="HeaderChar">
    <w:name w:val="Header Char"/>
    <w:basedOn w:val="DefaultParagraphFont"/>
    <w:link w:val="Header"/>
    <w:uiPriority w:val="99"/>
    <w:rsid w:val="00810CE6"/>
  </w:style>
  <w:style w:type="paragraph" w:styleId="Footer">
    <w:name w:val="footer"/>
    <w:basedOn w:val="Normal"/>
    <w:link w:val="FooterChar"/>
    <w:uiPriority w:val="99"/>
    <w:unhideWhenUsed/>
    <w:rsid w:val="00810CE6"/>
    <w:pPr>
      <w:tabs>
        <w:tab w:val="center" w:pos="4680"/>
        <w:tab w:val="right" w:pos="9360"/>
      </w:tabs>
    </w:pPr>
  </w:style>
  <w:style w:type="character" w:customStyle="1" w:styleId="FooterChar">
    <w:name w:val="Footer Char"/>
    <w:basedOn w:val="DefaultParagraphFont"/>
    <w:link w:val="Footer"/>
    <w:uiPriority w:val="99"/>
    <w:rsid w:val="00810CE6"/>
  </w:style>
  <w:style w:type="character" w:styleId="PageNumber">
    <w:name w:val="page number"/>
    <w:basedOn w:val="DefaultParagraphFont"/>
    <w:uiPriority w:val="99"/>
    <w:semiHidden/>
    <w:unhideWhenUsed/>
    <w:rsid w:val="00810CE6"/>
  </w:style>
  <w:style w:type="table" w:styleId="TableGrid">
    <w:name w:val="Table Grid"/>
    <w:basedOn w:val="TableNormal"/>
    <w:uiPriority w:val="39"/>
    <w:rsid w:val="00810CE6"/>
    <w:rPr>
      <w:rFonts w:ascii="Times New Roman" w:eastAsia="MS Mincho"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24F5"/>
  </w:style>
  <w:style w:type="character" w:styleId="CommentReference">
    <w:name w:val="annotation reference"/>
    <w:basedOn w:val="DefaultParagraphFont"/>
    <w:uiPriority w:val="99"/>
    <w:semiHidden/>
    <w:unhideWhenUsed/>
    <w:rsid w:val="00F00551"/>
    <w:rPr>
      <w:sz w:val="16"/>
      <w:szCs w:val="16"/>
    </w:rPr>
  </w:style>
  <w:style w:type="paragraph" w:styleId="CommentText">
    <w:name w:val="annotation text"/>
    <w:basedOn w:val="Normal"/>
    <w:link w:val="CommentTextChar"/>
    <w:uiPriority w:val="99"/>
    <w:unhideWhenUsed/>
    <w:rsid w:val="00F00551"/>
    <w:rPr>
      <w:sz w:val="20"/>
      <w:szCs w:val="20"/>
    </w:rPr>
  </w:style>
  <w:style w:type="character" w:customStyle="1" w:styleId="CommentTextChar">
    <w:name w:val="Comment Text Char"/>
    <w:basedOn w:val="DefaultParagraphFont"/>
    <w:link w:val="CommentText"/>
    <w:uiPriority w:val="99"/>
    <w:rsid w:val="00F00551"/>
    <w:rPr>
      <w:sz w:val="20"/>
      <w:szCs w:val="20"/>
    </w:rPr>
  </w:style>
  <w:style w:type="paragraph" w:styleId="CommentSubject">
    <w:name w:val="annotation subject"/>
    <w:basedOn w:val="CommentText"/>
    <w:next w:val="CommentText"/>
    <w:link w:val="CommentSubjectChar"/>
    <w:uiPriority w:val="99"/>
    <w:semiHidden/>
    <w:unhideWhenUsed/>
    <w:rsid w:val="00F00551"/>
    <w:rPr>
      <w:b/>
      <w:bCs/>
    </w:rPr>
  </w:style>
  <w:style w:type="character" w:customStyle="1" w:styleId="CommentSubjectChar">
    <w:name w:val="Comment Subject Char"/>
    <w:basedOn w:val="CommentTextChar"/>
    <w:link w:val="CommentSubject"/>
    <w:uiPriority w:val="99"/>
    <w:semiHidden/>
    <w:rsid w:val="00F00551"/>
    <w:rPr>
      <w:b/>
      <w:bCs/>
      <w:sz w:val="20"/>
      <w:szCs w:val="20"/>
    </w:rPr>
  </w:style>
  <w:style w:type="character" w:customStyle="1" w:styleId="Heading1Char">
    <w:name w:val="Heading 1 Char"/>
    <w:basedOn w:val="DefaultParagraphFont"/>
    <w:link w:val="Heading1"/>
    <w:uiPriority w:val="9"/>
    <w:rsid w:val="0046426F"/>
    <w:rPr>
      <w:rFonts w:ascii="Arial" w:eastAsiaTheme="majorEastAsia" w:hAnsi="Arial" w:cs="Arial"/>
      <w:b/>
      <w:color w:val="0B5171"/>
      <w:sz w:val="28"/>
      <w:szCs w:val="32"/>
    </w:rPr>
  </w:style>
  <w:style w:type="paragraph" w:styleId="TOCHeading">
    <w:name w:val="TOC Heading"/>
    <w:basedOn w:val="Heading1"/>
    <w:next w:val="Normal"/>
    <w:uiPriority w:val="39"/>
    <w:unhideWhenUsed/>
    <w:qFormat/>
    <w:rsid w:val="0046426F"/>
    <w:pPr>
      <w:spacing w:line="259" w:lineRule="auto"/>
      <w:outlineLvl w:val="9"/>
    </w:pPr>
  </w:style>
  <w:style w:type="character" w:customStyle="1" w:styleId="Heading2Char">
    <w:name w:val="Heading 2 Char"/>
    <w:basedOn w:val="DefaultParagraphFont"/>
    <w:link w:val="Heading2"/>
    <w:uiPriority w:val="9"/>
    <w:rsid w:val="00602B24"/>
    <w:rPr>
      <w:rFonts w:ascii="Arial" w:hAnsi="Arial" w:cs="Arial"/>
      <w:b/>
      <w:bCs/>
      <w:color w:val="0B5171"/>
      <w:sz w:val="22"/>
      <w:szCs w:val="22"/>
    </w:rPr>
  </w:style>
  <w:style w:type="paragraph" w:styleId="TOC1">
    <w:name w:val="toc 1"/>
    <w:basedOn w:val="Normal"/>
    <w:next w:val="Normal"/>
    <w:autoRedefine/>
    <w:uiPriority w:val="39"/>
    <w:unhideWhenUsed/>
    <w:rsid w:val="0046426F"/>
    <w:pPr>
      <w:spacing w:after="100"/>
    </w:pPr>
  </w:style>
  <w:style w:type="paragraph" w:styleId="TOC2">
    <w:name w:val="toc 2"/>
    <w:basedOn w:val="Normal"/>
    <w:next w:val="Normal"/>
    <w:autoRedefine/>
    <w:uiPriority w:val="39"/>
    <w:unhideWhenUsed/>
    <w:rsid w:val="00596F47"/>
    <w:pPr>
      <w:tabs>
        <w:tab w:val="left" w:pos="660"/>
        <w:tab w:val="right" w:leader="dot" w:pos="9350"/>
      </w:tabs>
      <w:spacing w:after="100"/>
      <w:ind w:left="240"/>
    </w:pPr>
  </w:style>
  <w:style w:type="character" w:styleId="Hyperlink">
    <w:name w:val="Hyperlink"/>
    <w:basedOn w:val="DefaultParagraphFont"/>
    <w:uiPriority w:val="99"/>
    <w:unhideWhenUsed/>
    <w:rsid w:val="0046426F"/>
    <w:rPr>
      <w:color w:val="0563C1" w:themeColor="hyperlink"/>
      <w:u w:val="single"/>
    </w:rPr>
  </w:style>
  <w:style w:type="paragraph" w:styleId="BodyText">
    <w:name w:val="Body Text"/>
    <w:basedOn w:val="Normal"/>
    <w:link w:val="BodyTextChar"/>
    <w:uiPriority w:val="1"/>
    <w:qFormat/>
    <w:rsid w:val="0046426F"/>
    <w:pPr>
      <w:widowControl w:val="0"/>
      <w:autoSpaceDE w:val="0"/>
      <w:autoSpaceDN w:val="0"/>
    </w:pPr>
    <w:rPr>
      <w:rFonts w:eastAsia="Arial"/>
    </w:rPr>
  </w:style>
  <w:style w:type="character" w:customStyle="1" w:styleId="BodyTextChar">
    <w:name w:val="Body Text Char"/>
    <w:basedOn w:val="DefaultParagraphFont"/>
    <w:link w:val="BodyText"/>
    <w:uiPriority w:val="1"/>
    <w:rsid w:val="0046426F"/>
    <w:rPr>
      <w:rFonts w:ascii="Arial" w:eastAsia="Arial" w:hAnsi="Arial" w:cs="Arial"/>
      <w:sz w:val="22"/>
      <w:szCs w:val="22"/>
    </w:rPr>
  </w:style>
  <w:style w:type="paragraph" w:styleId="BalloonText">
    <w:name w:val="Balloon Text"/>
    <w:basedOn w:val="Normal"/>
    <w:link w:val="BalloonTextChar"/>
    <w:uiPriority w:val="99"/>
    <w:semiHidden/>
    <w:unhideWhenUsed/>
    <w:rsid w:val="004642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6F"/>
    <w:rPr>
      <w:rFonts w:ascii="Segoe UI" w:hAnsi="Segoe UI" w:cs="Segoe UI"/>
      <w:sz w:val="18"/>
      <w:szCs w:val="18"/>
    </w:rPr>
  </w:style>
  <w:style w:type="character" w:customStyle="1" w:styleId="Heading3Char">
    <w:name w:val="Heading 3 Char"/>
    <w:basedOn w:val="DefaultParagraphFont"/>
    <w:link w:val="Heading3"/>
    <w:uiPriority w:val="9"/>
    <w:rsid w:val="00623338"/>
    <w:rPr>
      <w:rFonts w:ascii="Arial" w:hAnsi="Arial" w:cs="Arial"/>
      <w:b/>
      <w:bCs/>
      <w:color w:val="0B5171"/>
      <w:sz w:val="22"/>
      <w:szCs w:val="22"/>
    </w:rPr>
  </w:style>
  <w:style w:type="paragraph" w:styleId="TOC3">
    <w:name w:val="toc 3"/>
    <w:basedOn w:val="Normal"/>
    <w:next w:val="Normal"/>
    <w:autoRedefine/>
    <w:uiPriority w:val="39"/>
    <w:unhideWhenUsed/>
    <w:rsid w:val="00623338"/>
    <w:pPr>
      <w:spacing w:after="100"/>
      <w:ind w:left="440"/>
    </w:pPr>
  </w:style>
  <w:style w:type="character" w:customStyle="1" w:styleId="Heading4Char">
    <w:name w:val="Heading 4 Char"/>
    <w:basedOn w:val="DefaultParagraphFont"/>
    <w:link w:val="Heading4"/>
    <w:uiPriority w:val="9"/>
    <w:rsid w:val="0006733E"/>
    <w:rPr>
      <w:rFonts w:ascii="Arial" w:hAnsi="Arial" w:cs="Arial"/>
      <w:b/>
      <w:bCs/>
      <w:color w:val="0B517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1657">
      <w:bodyDiv w:val="1"/>
      <w:marLeft w:val="0"/>
      <w:marRight w:val="0"/>
      <w:marTop w:val="0"/>
      <w:marBottom w:val="0"/>
      <w:divBdr>
        <w:top w:val="none" w:sz="0" w:space="0" w:color="auto"/>
        <w:left w:val="none" w:sz="0" w:space="0" w:color="auto"/>
        <w:bottom w:val="none" w:sz="0" w:space="0" w:color="auto"/>
        <w:right w:val="none" w:sz="0" w:space="0" w:color="auto"/>
      </w:divBdr>
    </w:div>
    <w:div w:id="207568977">
      <w:bodyDiv w:val="1"/>
      <w:marLeft w:val="0"/>
      <w:marRight w:val="0"/>
      <w:marTop w:val="0"/>
      <w:marBottom w:val="0"/>
      <w:divBdr>
        <w:top w:val="none" w:sz="0" w:space="0" w:color="auto"/>
        <w:left w:val="none" w:sz="0" w:space="0" w:color="auto"/>
        <w:bottom w:val="none" w:sz="0" w:space="0" w:color="auto"/>
        <w:right w:val="none" w:sz="0" w:space="0" w:color="auto"/>
      </w:divBdr>
    </w:div>
    <w:div w:id="637228260">
      <w:bodyDiv w:val="1"/>
      <w:marLeft w:val="0"/>
      <w:marRight w:val="0"/>
      <w:marTop w:val="0"/>
      <w:marBottom w:val="0"/>
      <w:divBdr>
        <w:top w:val="none" w:sz="0" w:space="0" w:color="auto"/>
        <w:left w:val="none" w:sz="0" w:space="0" w:color="auto"/>
        <w:bottom w:val="none" w:sz="0" w:space="0" w:color="auto"/>
        <w:right w:val="none" w:sz="0" w:space="0" w:color="auto"/>
      </w:divBdr>
    </w:div>
    <w:div w:id="183633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_activity xmlns="106b6e46-576d-42b8-83b6-2de11409e0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E2C32DD653354FAB6592C05DB6E6E0" ma:contentTypeVersion="16" ma:contentTypeDescription="Create a new document." ma:contentTypeScope="" ma:versionID="34ec2c6e34a3b0af27bb3c9666d55d56">
  <xsd:schema xmlns:xsd="http://www.w3.org/2001/XMLSchema" xmlns:xs="http://www.w3.org/2001/XMLSchema" xmlns:p="http://schemas.microsoft.com/office/2006/metadata/properties" xmlns:ns3="106b6e46-576d-42b8-83b6-2de11409e06a" xmlns:ns4="061b8cd9-7a9c-4d6b-95d5-01e8a31de996" targetNamespace="http://schemas.microsoft.com/office/2006/metadata/properties" ma:root="true" ma:fieldsID="1e7546fa671a717d48a32ecd707003f9" ns3:_="" ns4:_="">
    <xsd:import namespace="106b6e46-576d-42b8-83b6-2de11409e06a"/>
    <xsd:import namespace="061b8cd9-7a9c-4d6b-95d5-01e8a31de9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b6e46-576d-42b8-83b6-2de11409e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1b8cd9-7a9c-4d6b-95d5-01e8a31de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1AEB4-C66B-47AA-B74A-06625976A0B0}">
  <ds:schemaRefs>
    <ds:schemaRef ds:uri="http://schemas.openxmlformats.org/officeDocument/2006/bibliography"/>
  </ds:schemaRefs>
</ds:datastoreItem>
</file>

<file path=customXml/itemProps2.xml><?xml version="1.0" encoding="utf-8"?>
<ds:datastoreItem xmlns:ds="http://schemas.openxmlformats.org/officeDocument/2006/customXml" ds:itemID="{DD85E817-0EEB-48CD-88D5-3F8C4C4FF176}">
  <ds:schemaRef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dcmitype/"/>
    <ds:schemaRef ds:uri="061b8cd9-7a9c-4d6b-95d5-01e8a31de996"/>
    <ds:schemaRef ds:uri="106b6e46-576d-42b8-83b6-2de11409e06a"/>
    <ds:schemaRef ds:uri="http://purl.org/dc/terms/"/>
  </ds:schemaRefs>
</ds:datastoreItem>
</file>

<file path=customXml/itemProps3.xml><?xml version="1.0" encoding="utf-8"?>
<ds:datastoreItem xmlns:ds="http://schemas.openxmlformats.org/officeDocument/2006/customXml" ds:itemID="{70C4CD96-83BD-49C6-A9D3-313C2F57E1F2}">
  <ds:schemaRefs>
    <ds:schemaRef ds:uri="http://schemas.microsoft.com/sharepoint/v3/contenttype/forms"/>
  </ds:schemaRefs>
</ds:datastoreItem>
</file>

<file path=customXml/itemProps4.xml><?xml version="1.0" encoding="utf-8"?>
<ds:datastoreItem xmlns:ds="http://schemas.openxmlformats.org/officeDocument/2006/customXml" ds:itemID="{2A2E2B08-4F1E-43B7-8333-2A9480EA4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b6e46-576d-42b8-83b6-2de11409e06a"/>
    <ds:schemaRef ds:uri="061b8cd9-7a9c-4d6b-95d5-01e8a31de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5834</Words>
  <Characters>33260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2025-06-22T18:15:00Z</dcterms:created>
  <dcterms:modified xsi:type="dcterms:W3CDTF">2025-06-22T18:25:00Z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7d1604-a11e-4c33-b65a-00a6c0f6fd4a_Enabled">
    <vt:lpwstr>true</vt:lpwstr>
  </property>
  <property fmtid="{D5CDD505-2E9C-101B-9397-08002B2CF9AE}" pid="3" name="MSIP_Label_047d1604-a11e-4c33-b65a-00a6c0f6fd4a_SetDate">
    <vt:lpwstr>2023-11-20T12:12:48Z</vt:lpwstr>
  </property>
  <property fmtid="{D5CDD505-2E9C-101B-9397-08002B2CF9AE}" pid="4" name="MSIP_Label_047d1604-a11e-4c33-b65a-00a6c0f6fd4a_Method">
    <vt:lpwstr>Privileged</vt:lpwstr>
  </property>
  <property fmtid="{D5CDD505-2E9C-101B-9397-08002B2CF9AE}" pid="5" name="MSIP_Label_047d1604-a11e-4c33-b65a-00a6c0f6fd4a_Name">
    <vt:lpwstr>OFFICIAL USE ONLY</vt:lpwstr>
  </property>
  <property fmtid="{D5CDD505-2E9C-101B-9397-08002B2CF9AE}" pid="6" name="MSIP_Label_047d1604-a11e-4c33-b65a-00a6c0f6fd4a_SiteId">
    <vt:lpwstr>a483a0b6-671f-4e86-a04d-998385c0e199</vt:lpwstr>
  </property>
  <property fmtid="{D5CDD505-2E9C-101B-9397-08002B2CF9AE}" pid="7" name="MSIP_Label_047d1604-a11e-4c33-b65a-00a6c0f6fd4a_ActionId">
    <vt:lpwstr>321cb048-95a9-468f-8077-1d245cfbeb1f</vt:lpwstr>
  </property>
  <property fmtid="{D5CDD505-2E9C-101B-9397-08002B2CF9AE}" pid="8" name="MSIP_Label_047d1604-a11e-4c33-b65a-00a6c0f6fd4a_ContentBits">
    <vt:lpwstr>1</vt:lpwstr>
  </property>
  <property fmtid="{D5CDD505-2E9C-101B-9397-08002B2CF9AE}" pid="9" name="ContentTypeId">
    <vt:lpwstr>0x0101008EE2C32DD653354FAB6592C05DB6E6E0</vt:lpwstr>
  </property>
</Properties>
</file>